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韬晟塑胶</w:t>
      </w:r>
      <w:r>
        <w:rPr>
          <w:rFonts w:hint="eastAsia" w:ascii="Times New Roman"/>
          <w:b/>
          <w:sz w:val="28"/>
          <w:szCs w:val="28"/>
        </w:rPr>
        <w:t>制品有限公司项目竣工环境保护验收意见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201</w:t>
      </w:r>
      <w:r>
        <w:rPr>
          <w:rFonts w:hint="eastAsia" w:ascii="Times New Roman" w:hAnsi="Times New Roman"/>
          <w:sz w:val="24"/>
          <w:szCs w:val="24"/>
          <w:lang w:val="en-US" w:eastAsia="zh-CN"/>
        </w:rPr>
        <w:t>9</w:t>
      </w:r>
      <w:r>
        <w:rPr>
          <w:rFonts w:hint="eastAsia" w:ascii="Times New Roman"/>
          <w:sz w:val="24"/>
          <w:szCs w:val="24"/>
        </w:rPr>
        <w:t>年</w:t>
      </w:r>
      <w:r>
        <w:rPr>
          <w:rFonts w:hint="eastAsia" w:ascii="Times New Roman"/>
          <w:sz w:val="24"/>
          <w:szCs w:val="24"/>
          <w:lang w:val="en-US" w:eastAsia="zh-CN"/>
        </w:rPr>
        <w:t>02</w:t>
      </w:r>
      <w:r>
        <w:rPr>
          <w:rFonts w:hint="eastAsia" w:ascii="Times New Roman"/>
          <w:sz w:val="24"/>
          <w:szCs w:val="24"/>
        </w:rPr>
        <w:t>月</w:t>
      </w:r>
      <w:r>
        <w:rPr>
          <w:rFonts w:hint="eastAsia" w:ascii="Times New Roman"/>
          <w:sz w:val="24"/>
          <w:szCs w:val="24"/>
          <w:lang w:val="en-US" w:eastAsia="zh-CN"/>
        </w:rPr>
        <w:t>20</w:t>
      </w:r>
      <w:r>
        <w:rPr>
          <w:rFonts w:hint="eastAsia" w:ascii="Times New Roman"/>
          <w:sz w:val="24"/>
          <w:szCs w:val="24"/>
        </w:rPr>
        <w:t>日东莞市</w:t>
      </w:r>
      <w:r>
        <w:rPr>
          <w:rFonts w:hint="eastAsia" w:ascii="Times New Roman"/>
          <w:sz w:val="24"/>
          <w:szCs w:val="24"/>
          <w:lang w:eastAsia="zh-CN"/>
        </w:rPr>
        <w:t>韬晟塑胶</w:t>
      </w:r>
      <w:r>
        <w:rPr>
          <w:rFonts w:hint="eastAsia" w:ascii="Times New Roman"/>
          <w:sz w:val="24"/>
          <w:szCs w:val="24"/>
        </w:rPr>
        <w:t>制品有限公司根据东莞市</w:t>
      </w:r>
      <w:r>
        <w:rPr>
          <w:rFonts w:hint="eastAsia" w:ascii="Times New Roman"/>
          <w:sz w:val="24"/>
          <w:szCs w:val="24"/>
          <w:lang w:eastAsia="zh-CN"/>
        </w:rPr>
        <w:t>韬晟塑胶</w:t>
      </w:r>
      <w:r>
        <w:rPr>
          <w:rFonts w:hint="eastAsia" w:ascii="Times New Roman"/>
          <w:sz w:val="24"/>
          <w:szCs w:val="24"/>
        </w:rPr>
        <w:t>制品有限公司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8"/>
        <w:rPr>
          <w:rFonts w:cs="Times New Roman"/>
        </w:rPr>
      </w:pPr>
      <w:r>
        <w:rPr>
          <w:rFonts w:hint="eastAsia" w:cs="Times New Roman"/>
        </w:rPr>
        <w:t>东莞市</w:t>
      </w:r>
      <w:r>
        <w:rPr>
          <w:rFonts w:hint="eastAsia" w:cs="Times New Roman"/>
          <w:lang w:eastAsia="zh-CN"/>
        </w:rPr>
        <w:t>韬晟塑胶</w:t>
      </w:r>
      <w:r>
        <w:rPr>
          <w:rFonts w:hint="eastAsia" w:cs="Times New Roman"/>
        </w:rPr>
        <w:t>制品有限公司位于</w:t>
      </w:r>
      <w:r>
        <w:rPr>
          <w:rFonts w:hint="eastAsia" w:cs="Times New Roman"/>
          <w:color w:val="000000"/>
        </w:rPr>
        <w:t>东莞市</w:t>
      </w:r>
      <w:r>
        <w:rPr>
          <w:rFonts w:hint="eastAsia" w:cs="Times New Roman"/>
          <w:color w:val="000000"/>
          <w:lang w:eastAsia="zh-CN"/>
        </w:rPr>
        <w:t>企石镇东山村永发路</w:t>
      </w:r>
      <w:r>
        <w:rPr>
          <w:rFonts w:hint="eastAsia" w:cs="Times New Roman"/>
          <w:bCs/>
          <w:color w:val="000000"/>
        </w:rPr>
        <w:t>（北纬</w:t>
      </w:r>
      <w:r>
        <w:rPr>
          <w:rFonts w:hint="eastAsia" w:cs="Times New Roman"/>
          <w:bCs/>
          <w:color w:val="000000"/>
          <w:lang w:val="en-US" w:eastAsia="zh-CN"/>
        </w:rPr>
        <w:t>23</w:t>
      </w:r>
      <w:r>
        <w:rPr>
          <w:rFonts w:cs="Times New Roman"/>
          <w:bCs/>
          <w:color w:val="000000"/>
        </w:rPr>
        <w:t>°</w:t>
      </w:r>
      <w:r>
        <w:rPr>
          <w:rFonts w:hint="eastAsia" w:cs="Times New Roman"/>
          <w:bCs/>
          <w:color w:val="000000"/>
          <w:lang w:val="en-US" w:eastAsia="zh-CN"/>
        </w:rPr>
        <w:t>2</w:t>
      </w:r>
      <w:r>
        <w:rPr>
          <w:rFonts w:cs="Times New Roman"/>
          <w:bCs/>
          <w:color w:val="000000"/>
        </w:rPr>
        <w:t>′</w:t>
      </w:r>
      <w:r>
        <w:rPr>
          <w:rFonts w:hint="eastAsia" w:cs="Times New Roman"/>
          <w:bCs/>
          <w:color w:val="000000"/>
          <w:lang w:val="en-US" w:eastAsia="zh-CN"/>
        </w:rPr>
        <w:t>33.64</w:t>
      </w:r>
      <w:r>
        <w:rPr>
          <w:rFonts w:cs="Times New Roman"/>
          <w:bCs/>
          <w:color w:val="000000"/>
        </w:rPr>
        <w:t>″</w:t>
      </w:r>
      <w:r>
        <w:rPr>
          <w:rFonts w:hint="eastAsia" w:cs="Times New Roman"/>
          <w:bCs/>
          <w:color w:val="000000"/>
        </w:rPr>
        <w:t>，东经</w:t>
      </w:r>
      <w:r>
        <w:rPr>
          <w:rFonts w:hint="eastAsia" w:cs="Times New Roman"/>
          <w:bCs/>
          <w:color w:val="000000"/>
          <w:lang w:val="en-US" w:eastAsia="zh-CN"/>
        </w:rPr>
        <w:t>114</w:t>
      </w:r>
      <w:r>
        <w:rPr>
          <w:rFonts w:cs="Times New Roman"/>
          <w:bCs/>
          <w:color w:val="000000"/>
        </w:rPr>
        <w:t>°</w:t>
      </w:r>
      <w:r>
        <w:rPr>
          <w:rFonts w:hint="eastAsia" w:cs="Times New Roman"/>
          <w:bCs/>
          <w:color w:val="000000"/>
          <w:lang w:val="en-US" w:eastAsia="zh-CN"/>
        </w:rPr>
        <w:t>1</w:t>
      </w:r>
      <w:r>
        <w:rPr>
          <w:rFonts w:cs="Times New Roman"/>
          <w:bCs/>
          <w:color w:val="000000"/>
        </w:rPr>
        <w:t>′</w:t>
      </w:r>
      <w:r>
        <w:rPr>
          <w:rFonts w:hint="eastAsia" w:cs="Times New Roman"/>
          <w:bCs/>
          <w:color w:val="000000"/>
          <w:lang w:val="en-US" w:eastAsia="zh-CN"/>
        </w:rPr>
        <w:t>48.05</w:t>
      </w:r>
      <w:r>
        <w:rPr>
          <w:rFonts w:cs="Times New Roman"/>
          <w:bCs/>
          <w:color w:val="000000"/>
        </w:rPr>
        <w:t>″</w:t>
      </w:r>
      <w:r>
        <w:rPr>
          <w:rFonts w:hint="eastAsia" w:cs="Times New Roman"/>
          <w:bCs/>
          <w:color w:val="000000"/>
        </w:rPr>
        <w:t>）</w:t>
      </w:r>
      <w:r>
        <w:rPr>
          <w:rFonts w:hint="eastAsia" w:cs="Times New Roman"/>
        </w:rPr>
        <w:t>。项目所在厂房为租用</w:t>
      </w:r>
      <w:r>
        <w:rPr>
          <w:rFonts w:hint="eastAsia" w:cs="Times New Roman"/>
          <w:lang w:eastAsia="zh-CN"/>
        </w:rPr>
        <w:t>，有一栋已建设成</w:t>
      </w:r>
      <w:r>
        <w:rPr>
          <w:rFonts w:hint="eastAsia" w:cs="Times New Roman"/>
          <w:lang w:val="en-US" w:eastAsia="zh-CN"/>
        </w:rPr>
        <w:t>3F建筑作为生产车间和仓库</w:t>
      </w:r>
      <w:r>
        <w:rPr>
          <w:rFonts w:hint="eastAsia" w:cs="Times New Roman"/>
        </w:rPr>
        <w:t>，</w:t>
      </w:r>
      <w:r>
        <w:rPr>
          <w:rFonts w:hint="eastAsia" w:cs="Times New Roman"/>
          <w:lang w:eastAsia="zh-CN"/>
        </w:rPr>
        <w:t>一栋已建设成</w:t>
      </w:r>
      <w:r>
        <w:rPr>
          <w:rFonts w:hint="eastAsia" w:cs="Times New Roman"/>
          <w:lang w:val="en-US" w:eastAsia="zh-CN"/>
        </w:rPr>
        <w:t>3F建筑作为办公楼，拟建一栋3F建筑作为生产车间，</w:t>
      </w:r>
      <w:r>
        <w:rPr>
          <w:rFonts w:hint="eastAsia" w:cs="Times New Roman"/>
        </w:rPr>
        <w:t>占地面积</w:t>
      </w:r>
      <w:r>
        <w:rPr>
          <w:rFonts w:hint="eastAsia" w:cs="Times New Roman"/>
          <w:lang w:val="en-US" w:eastAsia="zh-CN"/>
        </w:rPr>
        <w:t>2000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9700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530</w:t>
      </w:r>
      <w:r>
        <w:rPr>
          <w:rFonts w:hint="eastAsia" w:cs="Times New Roman"/>
        </w:rPr>
        <w:t>万元，设有员工</w:t>
      </w:r>
      <w:r>
        <w:rPr>
          <w:rFonts w:hint="eastAsia" w:cs="Times New Roman"/>
          <w:lang w:val="en-US" w:eastAsia="zh-CN"/>
        </w:rPr>
        <w:t>150</w:t>
      </w:r>
      <w:r>
        <w:rPr>
          <w:rFonts w:hint="eastAsia" w:cs="Times New Roman"/>
        </w:rPr>
        <w:t>人，主要从事</w:t>
      </w:r>
      <w:r>
        <w:rPr>
          <w:rFonts w:hint="eastAsia" w:cs="Times New Roman"/>
          <w:lang w:eastAsia="zh-CN"/>
        </w:rPr>
        <w:t>塑胶</w:t>
      </w:r>
      <w:r>
        <w:rPr>
          <w:rFonts w:hint="eastAsia" w:cs="Times New Roman"/>
        </w:rPr>
        <w:t>制品生产，年</w:t>
      </w:r>
      <w:r>
        <w:rPr>
          <w:rFonts w:hint="eastAsia" w:cs="Times New Roman"/>
          <w:lang w:eastAsia="zh-CN"/>
        </w:rPr>
        <w:t>加工生产塑胶手机外壳</w:t>
      </w:r>
      <w:r>
        <w:rPr>
          <w:rFonts w:hint="eastAsia" w:cs="Times New Roman"/>
          <w:lang w:val="en-US" w:eastAsia="zh-CN"/>
        </w:rPr>
        <w:t>200万件、塑胶汽车零配件50万件、塑胶家电外壳100万套</w:t>
      </w:r>
      <w:r>
        <w:rPr>
          <w:rFonts w:hint="eastAsia" w:cs="Times New Roman"/>
        </w:rPr>
        <w:t>。</w:t>
      </w:r>
    </w:p>
    <w:p>
      <w:pPr>
        <w:pStyle w:val="18"/>
        <w:ind w:firstLine="482"/>
        <w:rPr>
          <w:rFonts w:cs="Times New Roman"/>
          <w:b/>
        </w:rPr>
      </w:pPr>
      <w:r>
        <w:rPr>
          <w:rFonts w:hint="eastAsia" w:cs="Times New Roman"/>
          <w:b/>
        </w:rPr>
        <w:t>（二）建设过程及环保审批情况</w:t>
      </w:r>
    </w:p>
    <w:p>
      <w:pPr>
        <w:pStyle w:val="18"/>
        <w:rPr>
          <w:rFonts w:cs="Times New Roman"/>
          <w:color w:val="000000"/>
        </w:rPr>
      </w:pPr>
      <w:r>
        <w:rPr>
          <w:rFonts w:hint="eastAsia" w:cs="Times New Roman"/>
        </w:rPr>
        <w:t>东莞市</w:t>
      </w:r>
      <w:r>
        <w:rPr>
          <w:rFonts w:hint="eastAsia" w:cs="Times New Roman"/>
          <w:lang w:eastAsia="zh-CN"/>
        </w:rPr>
        <w:t>韬晟塑胶</w:t>
      </w:r>
      <w:r>
        <w:rPr>
          <w:rFonts w:hint="eastAsia" w:cs="Times New Roman"/>
        </w:rPr>
        <w:t>制品</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w:t>
      </w:r>
      <w:r>
        <w:rPr>
          <w:rFonts w:cs="Times New Roman"/>
          <w:color w:val="000000"/>
        </w:rPr>
        <w:t>1</w:t>
      </w:r>
      <w:r>
        <w:rPr>
          <w:rFonts w:hint="eastAsia" w:cs="Times New Roman"/>
          <w:color w:val="000000"/>
        </w:rPr>
        <w:t>月委托</w:t>
      </w:r>
      <w:r>
        <w:rPr>
          <w:rFonts w:hint="eastAsia" w:hAnsi="宋体" w:cs="Times New Roman"/>
          <w:bCs/>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韬晟塑胶</w:t>
      </w:r>
      <w:r>
        <w:rPr>
          <w:rFonts w:hint="eastAsia" w:cs="Times New Roman"/>
          <w:color w:val="000000"/>
        </w:rPr>
        <w:t>制品有限公司建设项目环境影响报告表》，并通过了东莞市环保局</w:t>
      </w:r>
      <w:r>
        <w:rPr>
          <w:rFonts w:hint="eastAsia" w:cs="Times New Roman"/>
          <w:color w:val="000000"/>
          <w:lang w:eastAsia="zh-CN"/>
        </w:rPr>
        <w:t>企石</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18</w:t>
      </w:r>
      <w:r>
        <w:rPr>
          <w:rFonts w:hint="eastAsia" w:cs="Times New Roman"/>
          <w:color w:val="000000"/>
        </w:rPr>
        <w:t>〕</w:t>
      </w:r>
      <w:r>
        <w:rPr>
          <w:rFonts w:hint="eastAsia" w:cs="Times New Roman"/>
          <w:color w:val="000000"/>
          <w:lang w:val="en-US" w:eastAsia="zh-CN"/>
        </w:rPr>
        <w:t>1607</w:t>
      </w:r>
      <w:r>
        <w:rPr>
          <w:rFonts w:hint="eastAsia" w:cs="Times New Roman"/>
          <w:color w:val="000000"/>
        </w:rPr>
        <w:t>号。</w:t>
      </w:r>
    </w:p>
    <w:p>
      <w:pPr>
        <w:adjustRightInd w:val="0"/>
        <w:spacing w:line="360" w:lineRule="auto"/>
        <w:ind w:firstLine="480" w:firstLineChars="200"/>
        <w:rPr>
          <w:rFonts w:ascii="Times New Roman" w:hAnsi="Times New Roman"/>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5</w:t>
      </w:r>
      <w:r>
        <w:rPr>
          <w:rFonts w:hint="eastAsia" w:ascii="Times New Roman"/>
          <w:sz w:val="24"/>
        </w:rPr>
        <w:t>月建设完成，</w:t>
      </w:r>
      <w:r>
        <w:rPr>
          <w:rFonts w:hint="eastAsia" w:ascii="Times New Roman"/>
          <w:sz w:val="24"/>
          <w:lang w:eastAsia="zh-CN"/>
        </w:rPr>
        <w:t>设备与监测报告相符，</w:t>
      </w:r>
      <w:r>
        <w:rPr>
          <w:rFonts w:hint="eastAsia" w:ascii="Times New Roman"/>
          <w:sz w:val="24"/>
        </w:rPr>
        <w:t>设备安装完毕</w:t>
      </w:r>
      <w:r>
        <w:rPr>
          <w:rFonts w:hint="eastAsia" w:ascii="Times New Roman"/>
          <w:sz w:val="24"/>
          <w:szCs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530</w:t>
      </w:r>
      <w:r>
        <w:rPr>
          <w:rFonts w:hint="eastAsia" w:ascii="Times New Roman"/>
          <w:sz w:val="24"/>
        </w:rPr>
        <w:t>万元，其中环保投资为</w:t>
      </w:r>
      <w:r>
        <w:rPr>
          <w:rFonts w:hint="eastAsia" w:ascii="Times New Roman" w:hAnsi="Times New Roman"/>
          <w:sz w:val="24"/>
          <w:lang w:val="en-US" w:eastAsia="zh-CN"/>
        </w:rPr>
        <w:t>71</w:t>
      </w:r>
      <w:r>
        <w:rPr>
          <w:rFonts w:hint="eastAsia" w:ascii="Times New Roman"/>
          <w:sz w:val="24"/>
        </w:rPr>
        <w:t>万元，占总投资的</w:t>
      </w:r>
      <w:r>
        <w:rPr>
          <w:rFonts w:hint="eastAsia" w:ascii="Times New Roman" w:hAnsi="Times New Roman"/>
          <w:sz w:val="24"/>
          <w:lang w:val="en-US" w:eastAsia="zh-CN"/>
        </w:rPr>
        <w:t>13.4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噪声整体验收，固体废物等不属于本项目验收范围。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lang w:eastAsia="zh-CN"/>
        </w:rPr>
        <w:t>三</w:t>
      </w:r>
      <w:r>
        <w:rPr>
          <w:rFonts w:hint="eastAsia" w:ascii="Times New Roman"/>
          <w:b/>
          <w:sz w:val="24"/>
          <w:szCs w:val="24"/>
        </w:rPr>
        <w:t>、环境保护设施建设情况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rPr>
        <w:t>项目</w:t>
      </w:r>
      <w:r>
        <w:rPr>
          <w:rFonts w:hint="eastAsia" w:ascii="Times New Roman" w:hAnsi="Times New Roman"/>
          <w:sz w:val="24"/>
          <w:szCs w:val="24"/>
          <w:lang w:eastAsia="zh-CN"/>
        </w:rPr>
        <w:t>不排放生产性废水。冲版废水、水喷淋废水、水帘柜废水（共</w:t>
      </w:r>
      <w:r>
        <w:rPr>
          <w:rFonts w:hint="eastAsia" w:ascii="Times New Roman" w:hAnsi="Times New Roman"/>
          <w:sz w:val="24"/>
          <w:szCs w:val="24"/>
          <w:lang w:val="en-US" w:eastAsia="zh-CN"/>
        </w:rPr>
        <w:t>25.43吨/年</w:t>
      </w:r>
      <w:r>
        <w:rPr>
          <w:rFonts w:hint="eastAsia" w:ascii="Times New Roman" w:hAnsi="Times New Roman"/>
          <w:sz w:val="24"/>
          <w:szCs w:val="24"/>
          <w:lang w:eastAsia="zh-CN"/>
        </w:rPr>
        <w:t>）经固定的收集设施收集后交由有资质的单位处理，不外排；除尘用水及注塑成型工序的冷却水均循环使用，不外排。</w:t>
      </w:r>
    </w:p>
    <w:p>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项目生活污水经三级化粪池处理达到广东省《水污染物排放限值》（</w:t>
      </w:r>
      <w:r>
        <w:rPr>
          <w:rFonts w:hint="eastAsia" w:ascii="Times New Roman" w:hAnsi="Times New Roman"/>
          <w:sz w:val="24"/>
          <w:szCs w:val="24"/>
          <w:lang w:val="en-US" w:eastAsia="zh-CN"/>
        </w:rPr>
        <w:t>DB44/26-2001</w:t>
      </w:r>
      <w:r>
        <w:rPr>
          <w:rFonts w:hint="eastAsia" w:ascii="Times New Roman" w:hAnsi="Times New Roman"/>
          <w:sz w:val="24"/>
          <w:szCs w:val="24"/>
          <w:lang w:eastAsia="zh-CN"/>
        </w:rPr>
        <w:t>）第二时段三级标准后排入市政截污管网，引至城镇污水处理厂处理。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Times New Roman" w:hAnsi="Times New Roman" w:eastAsia="宋体"/>
          <w:sz w:val="24"/>
          <w:szCs w:val="24"/>
          <w:lang w:val="en-US" w:eastAsia="zh-CN"/>
        </w:rPr>
      </w:pPr>
      <w:r>
        <w:rPr>
          <w:rFonts w:hint="eastAsia" w:ascii="Times New Roman" w:hAnsi="Times New Roman"/>
          <w:sz w:val="24"/>
          <w:szCs w:val="24"/>
        </w:rPr>
        <w:t>项目</w:t>
      </w:r>
      <w:r>
        <w:rPr>
          <w:rFonts w:hint="eastAsia" w:ascii="Times New Roman" w:hAnsi="Times New Roman"/>
          <w:sz w:val="24"/>
          <w:szCs w:val="24"/>
          <w:lang w:eastAsia="zh-CN"/>
        </w:rPr>
        <w:t>注塑成型工序产生的废气收集后经</w:t>
      </w:r>
      <w:r>
        <w:rPr>
          <w:rFonts w:hint="eastAsia" w:ascii="Times New Roman" w:hAnsi="Times New Roman"/>
          <w:sz w:val="24"/>
          <w:szCs w:val="24"/>
          <w:lang w:val="en-US" w:eastAsia="zh-CN"/>
        </w:rPr>
        <w:t>UV光解处理后高空排放，排放执行《合成树脂工业污染物排放标准》（GB31572-2015）中表4大气污染物排放限值的要求；打样、调漆、喷漆、丝印、移印工序均设置在密闭车间内，水性或低排放VOCs含量的涂料使用比例不低于65%，VOCs收集率大于90%，打样、调漆、喷漆、烘烤工序产生的废气均收集经水喷淋+UV光解催化装置+活性炭吸附装置处理后高空排放，排放参照执行广东省《家具制造行业挥发性有机化合物排放标准》（DB44/814-2010）第</w:t>
      </w:r>
      <w:r>
        <w:rPr>
          <w:rFonts w:hint="eastAsia" w:ascii="宋体" w:hAnsi="宋体" w:cs="宋体"/>
          <w:sz w:val="24"/>
          <w:szCs w:val="24"/>
        </w:rPr>
        <w:t>Ⅱ</w:t>
      </w:r>
      <w:r>
        <w:rPr>
          <w:rFonts w:hint="eastAsia" w:ascii="Times New Roman" w:hAnsi="Times New Roman"/>
          <w:sz w:val="24"/>
          <w:szCs w:val="24"/>
          <w:lang w:val="en-US" w:eastAsia="zh-CN"/>
        </w:rPr>
        <w:t>时段排气筒排放限值的要求，丝印、移印工序产生的废气均收集后经UV光解催化装置+活性炭吸附装置处理后高空排放，排放参照执行广东省《印刷行业挥发性有机化合物排放标准》（DB44/815-2010）第</w:t>
      </w:r>
      <w:r>
        <w:rPr>
          <w:rFonts w:hint="eastAsia" w:ascii="宋体" w:hAnsi="宋体" w:cs="宋体"/>
          <w:sz w:val="24"/>
          <w:szCs w:val="24"/>
        </w:rPr>
        <w:t>Ⅱ</w:t>
      </w:r>
      <w:r>
        <w:rPr>
          <w:rFonts w:hint="eastAsia" w:ascii="Times New Roman" w:hAnsi="Times New Roman"/>
          <w:sz w:val="24"/>
          <w:szCs w:val="24"/>
          <w:lang w:val="en-US" w:eastAsia="zh-CN"/>
        </w:rPr>
        <w:t>时段排气筒排放限值的要求。</w:t>
      </w:r>
    </w:p>
    <w:p>
      <w:pPr>
        <w:numPr>
          <w:ilvl w:val="0"/>
          <w:numId w:val="1"/>
        </w:numPr>
        <w:spacing w:line="360" w:lineRule="auto"/>
        <w:ind w:firstLine="482" w:firstLineChars="200"/>
        <w:outlineLvl w:val="0"/>
        <w:rPr>
          <w:rFonts w:hint="eastAsia" w:ascii="Times New Roman" w:hAnsi="Times New Roman"/>
          <w:b/>
          <w:bCs/>
          <w:sz w:val="24"/>
          <w:szCs w:val="24"/>
          <w:lang w:eastAsia="zh-CN"/>
        </w:rPr>
      </w:pPr>
      <w:r>
        <w:rPr>
          <w:rFonts w:hint="eastAsia" w:ascii="Times New Roman" w:hAnsi="Times New Roman"/>
          <w:b/>
          <w:bCs/>
          <w:sz w:val="24"/>
          <w:szCs w:val="24"/>
          <w:lang w:eastAsia="zh-CN"/>
        </w:rPr>
        <w:t>噪声</w:t>
      </w:r>
    </w:p>
    <w:p>
      <w:pPr>
        <w:numPr>
          <w:ilvl w:val="0"/>
          <w:numId w:val="0"/>
        </w:numPr>
        <w:spacing w:line="360" w:lineRule="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    </w:t>
      </w:r>
      <w:r>
        <w:rPr>
          <w:rFonts w:hint="eastAsia" w:ascii="Times New Roman" w:hAnsi="Times New Roman"/>
          <w:b w:val="0"/>
          <w:bCs w:val="0"/>
          <w:sz w:val="24"/>
          <w:szCs w:val="24"/>
          <w:lang w:val="en-US" w:eastAsia="zh-CN"/>
        </w:rPr>
        <w:t>项目已做好生产设备的消声降噪措施，执行标准按照《工业企业厂界环境噪声排放标准》（GB12348-2008）2类标准执行。</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lang w:eastAsia="zh-CN"/>
        </w:rPr>
        <w:t>四</w:t>
      </w:r>
      <w:r>
        <w:rPr>
          <w:rFonts w:hint="eastAsia" w:ascii="Times New Roman" w:hAnsi="Times New Roman"/>
          <w:b/>
          <w:sz w:val="24"/>
          <w:szCs w:val="24"/>
        </w:rPr>
        <w:t>、环境保护设施调试效果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rPr>
        <w:t>项目</w:t>
      </w:r>
      <w:r>
        <w:rPr>
          <w:rFonts w:hint="eastAsia" w:ascii="Times New Roman" w:hAnsi="Times New Roman"/>
          <w:sz w:val="24"/>
          <w:szCs w:val="24"/>
          <w:lang w:eastAsia="zh-CN"/>
        </w:rPr>
        <w:t>不排放生产性废水。冲版废水、水喷淋废水、水帘柜废水（共</w:t>
      </w:r>
      <w:r>
        <w:rPr>
          <w:rFonts w:hint="eastAsia" w:ascii="Times New Roman" w:hAnsi="Times New Roman"/>
          <w:sz w:val="24"/>
          <w:szCs w:val="24"/>
          <w:lang w:val="en-US" w:eastAsia="zh-CN"/>
        </w:rPr>
        <w:t>25.43吨/年</w:t>
      </w:r>
      <w:r>
        <w:rPr>
          <w:rFonts w:hint="eastAsia" w:ascii="Times New Roman" w:hAnsi="Times New Roman"/>
          <w:sz w:val="24"/>
          <w:szCs w:val="24"/>
          <w:lang w:eastAsia="zh-CN"/>
        </w:rPr>
        <w:t>）经固定的收集设施收集后交由有资质的单位处理，不外排；除尘用水及注塑成型工序的冷却水均循环使用，不外排。</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sz w:val="24"/>
          <w:szCs w:val="24"/>
          <w:lang w:eastAsia="zh-CN"/>
        </w:rPr>
        <w:t>项目生活污水经三级化粪池处理达到广东省《水污染物排放限值》（</w:t>
      </w:r>
      <w:r>
        <w:rPr>
          <w:rFonts w:hint="eastAsia" w:ascii="Times New Roman" w:hAnsi="Times New Roman"/>
          <w:sz w:val="24"/>
          <w:szCs w:val="24"/>
          <w:lang w:val="en-US" w:eastAsia="zh-CN"/>
        </w:rPr>
        <w:t>DB44/26-2001</w:t>
      </w:r>
      <w:r>
        <w:rPr>
          <w:rFonts w:hint="eastAsia" w:ascii="Times New Roman" w:hAnsi="Times New Roman"/>
          <w:sz w:val="24"/>
          <w:szCs w:val="24"/>
          <w:lang w:eastAsia="zh-CN"/>
        </w:rPr>
        <w:t>）第二时段三级标准后排入市政截污管网，引至城镇污水处理厂处理。</w:t>
      </w:r>
      <w:r>
        <w:rPr>
          <w:rFonts w:hint="eastAsia" w:ascii="Times New Roman" w:hAnsi="Times New Roman"/>
          <w:sz w:val="24"/>
          <w:szCs w:val="24"/>
        </w:rPr>
        <w:t>见监测报告</w:t>
      </w:r>
      <w:r>
        <w:rPr>
          <w:rFonts w:ascii="Times New Roman" w:hAnsi="Times New Roman"/>
          <w:color w:val="000000"/>
          <w:sz w:val="24"/>
          <w:szCs w:val="24"/>
        </w:rPr>
        <w:t>HSJC</w:t>
      </w:r>
      <w:r>
        <w:rPr>
          <w:rFonts w:hint="eastAsia" w:ascii="Times New Roman" w:hAnsi="Times New Roman"/>
          <w:color w:val="000000"/>
          <w:sz w:val="24"/>
          <w:szCs w:val="24"/>
        </w:rPr>
        <w:t>（验字）</w:t>
      </w:r>
      <w:r>
        <w:rPr>
          <w:rFonts w:hint="eastAsia" w:ascii="Times New Roman" w:hAnsi="Times New Roman"/>
          <w:color w:val="000000"/>
          <w:sz w:val="24"/>
          <w:szCs w:val="24"/>
          <w:lang w:val="en-US" w:eastAsia="zh-CN"/>
        </w:rPr>
        <w:t>20181227009。</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rPr>
        <w:t>项目</w:t>
      </w:r>
      <w:r>
        <w:rPr>
          <w:rFonts w:hint="eastAsia" w:ascii="Times New Roman" w:hAnsi="Times New Roman"/>
          <w:sz w:val="24"/>
          <w:szCs w:val="24"/>
          <w:lang w:eastAsia="zh-CN"/>
        </w:rPr>
        <w:t>注塑成型工序产生的废气收集后经</w:t>
      </w:r>
      <w:r>
        <w:rPr>
          <w:rFonts w:hint="eastAsia" w:ascii="Times New Roman" w:hAnsi="Times New Roman"/>
          <w:sz w:val="24"/>
          <w:szCs w:val="24"/>
          <w:lang w:val="en-US" w:eastAsia="zh-CN"/>
        </w:rPr>
        <w:t>UV光解处理后高空排放，排放执行《合成树脂工业污染物排放标准》（GB31572-2015）中表4大气污染物排放限值的要求；打样、调漆、喷漆、丝印、移印工序均设置在密闭车间内，水性或低排放VOCs含量的涂料使用比例不低于65%，VOCs收集率大于90%，打样、调漆、喷漆、烘烤工序产生的废气均收集经水喷淋+UV光解催化装置+活性炭吸附装置处理后高空排放，排放参照执行广东省《家具制造行业挥发性有机化合物排放标准》（DB44/814-2010）第</w:t>
      </w:r>
      <w:r>
        <w:rPr>
          <w:rFonts w:hint="eastAsia" w:ascii="宋体" w:hAnsi="宋体" w:cs="宋体"/>
          <w:sz w:val="24"/>
          <w:szCs w:val="24"/>
        </w:rPr>
        <w:t>Ⅱ</w:t>
      </w:r>
      <w:r>
        <w:rPr>
          <w:rFonts w:hint="eastAsia" w:ascii="Times New Roman" w:hAnsi="Times New Roman"/>
          <w:sz w:val="24"/>
          <w:szCs w:val="24"/>
          <w:lang w:val="en-US" w:eastAsia="zh-CN"/>
        </w:rPr>
        <w:t>时段排气筒排放限值的要求，丝印、移印工序产生的废气均收集后经UV光解催化装置+活性炭吸附装置处理后高空排放，排放参照执行广东省《印刷行业挥发性有机化合物排放标准》（DB44/815-2010）第</w:t>
      </w:r>
      <w:r>
        <w:rPr>
          <w:rFonts w:hint="eastAsia" w:ascii="宋体" w:hAnsi="宋体" w:cs="宋体"/>
          <w:sz w:val="24"/>
          <w:szCs w:val="24"/>
        </w:rPr>
        <w:t>Ⅱ</w:t>
      </w:r>
      <w:r>
        <w:rPr>
          <w:rFonts w:hint="eastAsia" w:ascii="Times New Roman" w:hAnsi="Times New Roman"/>
          <w:sz w:val="24"/>
          <w:szCs w:val="24"/>
          <w:lang w:val="en-US" w:eastAsia="zh-CN"/>
        </w:rPr>
        <w:t>时段排气筒排放限值的要求。</w:t>
      </w:r>
      <w:r>
        <w:rPr>
          <w:rFonts w:hint="eastAsia" w:ascii="Times New Roman" w:hAnsi="Times New Roman"/>
          <w:sz w:val="24"/>
          <w:szCs w:val="24"/>
        </w:rPr>
        <w:t>见监测报告</w:t>
      </w:r>
      <w:r>
        <w:rPr>
          <w:rFonts w:ascii="Times New Roman" w:hAnsi="Times New Roman"/>
          <w:color w:val="000000"/>
          <w:sz w:val="24"/>
          <w:szCs w:val="24"/>
        </w:rPr>
        <w:t>HSJC</w:t>
      </w:r>
      <w:r>
        <w:rPr>
          <w:rFonts w:hint="eastAsia" w:ascii="Times New Roman" w:hAnsi="Times New Roman"/>
          <w:color w:val="000000"/>
          <w:sz w:val="24"/>
          <w:szCs w:val="24"/>
        </w:rPr>
        <w:t>（验字）</w:t>
      </w:r>
      <w:r>
        <w:rPr>
          <w:rFonts w:hint="eastAsia" w:ascii="Times New Roman" w:hAnsi="Times New Roman"/>
          <w:color w:val="000000"/>
          <w:sz w:val="24"/>
          <w:szCs w:val="24"/>
          <w:lang w:val="en-US" w:eastAsia="zh-CN"/>
        </w:rPr>
        <w:t>20181227009。</w:t>
      </w:r>
    </w:p>
    <w:p>
      <w:pPr>
        <w:numPr>
          <w:ilvl w:val="0"/>
          <w:numId w:val="0"/>
        </w:numPr>
        <w:spacing w:line="360" w:lineRule="auto"/>
        <w:ind w:firstLine="480" w:firstLineChars="200"/>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3.噪声</w:t>
      </w:r>
    </w:p>
    <w:p>
      <w:pPr>
        <w:numPr>
          <w:ilvl w:val="0"/>
          <w:numId w:val="0"/>
        </w:numPr>
        <w:spacing w:line="360" w:lineRule="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   </w:t>
      </w:r>
      <w:r>
        <w:rPr>
          <w:rFonts w:hint="eastAsia" w:ascii="Times New Roman" w:hAnsi="Times New Roman"/>
          <w:b w:val="0"/>
          <w:bCs w:val="0"/>
          <w:sz w:val="24"/>
          <w:szCs w:val="24"/>
          <w:lang w:val="en-US" w:eastAsia="zh-CN"/>
        </w:rPr>
        <w:t>项目已做好生产设备的消声降噪措施，执行标准按照《工业企业厂界环境噪声排放标准》（GB12348-2008）2类标准执行。见监测报告编号：DQ-2018111336。</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lang w:eastAsia="zh-CN"/>
        </w:rPr>
        <w:t>五</w:t>
      </w:r>
      <w:r>
        <w:rPr>
          <w:rFonts w:hint="eastAsia" w:ascii="Times New Roman" w:hAnsi="Times New Roman"/>
          <w:b/>
          <w:sz w:val="24"/>
          <w:szCs w:val="24"/>
        </w:rPr>
        <w:t>、工程建设对环境的影响</w:t>
      </w:r>
    </w:p>
    <w:p>
      <w:pPr>
        <w:pStyle w:val="3"/>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冲版废水、水喷淋废水、水帘柜废水经固定的收集设施收集后交由有资质的单位处理，不外排；除尘用水及注塑成型工序的冷却水均循环使用，不外排。生活污水经三级化粪池处理后排入市政截污管网，引至城镇污水处理厂处理。注塑成型工序产生的废气收集后经</w:t>
      </w:r>
      <w:r>
        <w:rPr>
          <w:rFonts w:hint="eastAsia" w:ascii="Times New Roman" w:hAnsi="Times New Roman"/>
          <w:sz w:val="24"/>
          <w:szCs w:val="24"/>
          <w:lang w:val="en-US" w:eastAsia="zh-CN"/>
        </w:rPr>
        <w:t>UV光解处理后达标排放，打样、调漆、喷漆、烘烤工序产生的废气均收集经水喷淋+UV光解催化装置+活性炭吸附装置处理后达标排放，丝印、移印工序产生的废气均收集后经UV光解催化装置+活性炭吸附装置处理后达标排放，</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对周围不会产生明显的影响。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lang w:eastAsia="zh-CN"/>
        </w:rPr>
        <w:t>六</w:t>
      </w:r>
      <w:r>
        <w:rPr>
          <w:rFonts w:hint="eastAsia" w:ascii="Times New Roman" w:hAnsi="Times New Roman"/>
          <w:b/>
          <w:sz w:val="24"/>
          <w:szCs w:val="24"/>
        </w:rPr>
        <w:t>、验收结论</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和废水污染物防治措施基本落实了环评文件及环评批复的要求，同时满足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废气、噪声、废水</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项目不从事夜间生产，如若项目需从事夜间生产，再向贵局申报夜间噪音达标验收。</w:t>
      </w:r>
      <w:bookmarkStart w:id="0" w:name="_GoBack"/>
      <w:bookmarkEnd w:id="0"/>
    </w:p>
    <w:p>
      <w:pPr>
        <w:spacing w:line="360" w:lineRule="auto"/>
        <w:ind w:firstLine="482" w:firstLineChars="200"/>
        <w:rPr>
          <w:rFonts w:ascii="Times New Roman" w:hAnsi="Times New Roman"/>
          <w:b/>
          <w:sz w:val="24"/>
          <w:szCs w:val="24"/>
        </w:rPr>
      </w:pPr>
      <w:r>
        <w:rPr>
          <w:rFonts w:hint="eastAsia" w:ascii="Times New Roman" w:hAnsi="Times New Roman"/>
          <w:b/>
          <w:sz w:val="24"/>
          <w:szCs w:val="24"/>
          <w:lang w:eastAsia="zh-CN"/>
        </w:rPr>
        <w:t>七</w:t>
      </w:r>
      <w:r>
        <w:rPr>
          <w:rFonts w:hint="eastAsia" w:ascii="Times New Roman" w:hAnsi="Times New Roman"/>
          <w:b/>
          <w:sz w:val="24"/>
          <w:szCs w:val="24"/>
        </w:rPr>
        <w:t>、建议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韬晟塑胶制品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02-20</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p>
    <w:p>
      <w:pPr>
        <w:spacing w:line="360" w:lineRule="auto"/>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u w:val="single"/>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韬晟塑胶制品</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11"/>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C6B10E6"/>
    <w:rsid w:val="0D2855CB"/>
    <w:rsid w:val="0DEA1FDD"/>
    <w:rsid w:val="0F11030B"/>
    <w:rsid w:val="114C068B"/>
    <w:rsid w:val="123D1278"/>
    <w:rsid w:val="19ED0BF7"/>
    <w:rsid w:val="1B2025A9"/>
    <w:rsid w:val="1C5212BE"/>
    <w:rsid w:val="209E659C"/>
    <w:rsid w:val="32CA631F"/>
    <w:rsid w:val="4CB86E57"/>
    <w:rsid w:val="510D6B07"/>
    <w:rsid w:val="67D61337"/>
    <w:rsid w:val="6F86612A"/>
    <w:rsid w:val="7015646D"/>
    <w:rsid w:val="70B24BD0"/>
    <w:rsid w:val="70FF39D7"/>
    <w:rsid w:val="750F07EB"/>
    <w:rsid w:val="76DB5D70"/>
    <w:rsid w:val="780D34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qFormat/>
    <w:uiPriority w:val="99"/>
    <w:rPr>
      <w:b/>
      <w:bCs/>
    </w:rPr>
  </w:style>
  <w:style w:type="paragraph" w:styleId="3">
    <w:name w:val="annotation text"/>
    <w:basedOn w:val="1"/>
    <w:link w:val="12"/>
    <w:semiHidden/>
    <w:qFormat/>
    <w:uiPriority w:val="99"/>
    <w:pPr>
      <w:jc w:val="left"/>
    </w:pPr>
  </w:style>
  <w:style w:type="paragraph" w:styleId="4">
    <w:name w:val="Document Map"/>
    <w:basedOn w:val="1"/>
    <w:link w:val="14"/>
    <w:semiHidden/>
    <w:qFormat/>
    <w:uiPriority w:val="99"/>
    <w:rPr>
      <w:rFonts w:ascii="宋体"/>
      <w:sz w:val="18"/>
      <w:szCs w:val="18"/>
    </w:rPr>
  </w:style>
  <w:style w:type="paragraph" w:styleId="5">
    <w:name w:val="Balloon Text"/>
    <w:basedOn w:val="1"/>
    <w:link w:val="15"/>
    <w:semiHidden/>
    <w:qFormat/>
    <w:uiPriority w:val="99"/>
    <w:rPr>
      <w:sz w:val="18"/>
      <w:szCs w:val="18"/>
    </w:rPr>
  </w:style>
  <w:style w:type="paragraph" w:styleId="6">
    <w:name w:val="footer"/>
    <w:basedOn w:val="1"/>
    <w:link w:val="16"/>
    <w:semiHidden/>
    <w:qFormat/>
    <w:uiPriority w:val="99"/>
    <w:pPr>
      <w:tabs>
        <w:tab w:val="center" w:pos="4153"/>
        <w:tab w:val="right" w:pos="8306"/>
      </w:tabs>
      <w:snapToGrid w:val="0"/>
      <w:jc w:val="left"/>
    </w:pPr>
    <w:rPr>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styleId="10">
    <w:name w:val="annotation reference"/>
    <w:basedOn w:val="8"/>
    <w:semiHidden/>
    <w:qFormat/>
    <w:uiPriority w:val="99"/>
    <w:rPr>
      <w:rFonts w:cs="Times New Roman"/>
      <w:sz w:val="21"/>
      <w:szCs w:val="21"/>
    </w:rPr>
  </w:style>
  <w:style w:type="character" w:customStyle="1" w:styleId="12">
    <w:name w:val="Comment Text Char"/>
    <w:basedOn w:val="8"/>
    <w:link w:val="3"/>
    <w:semiHidden/>
    <w:qFormat/>
    <w:locked/>
    <w:uiPriority w:val="99"/>
    <w:rPr>
      <w:rFonts w:cs="Times New Roman"/>
    </w:rPr>
  </w:style>
  <w:style w:type="character" w:customStyle="1" w:styleId="13">
    <w:name w:val="Comment Subject Char"/>
    <w:basedOn w:val="12"/>
    <w:link w:val="2"/>
    <w:semiHidden/>
    <w:qFormat/>
    <w:locked/>
    <w:uiPriority w:val="99"/>
    <w:rPr>
      <w:b/>
      <w:bCs/>
    </w:rPr>
  </w:style>
  <w:style w:type="character" w:customStyle="1" w:styleId="14">
    <w:name w:val="Document Map Char"/>
    <w:basedOn w:val="8"/>
    <w:link w:val="4"/>
    <w:semiHidden/>
    <w:qFormat/>
    <w:locked/>
    <w:uiPriority w:val="99"/>
    <w:rPr>
      <w:rFonts w:ascii="宋体" w:eastAsia="宋体" w:cs="Times New Roman"/>
      <w:sz w:val="18"/>
      <w:szCs w:val="18"/>
    </w:rPr>
  </w:style>
  <w:style w:type="character" w:customStyle="1" w:styleId="15">
    <w:name w:val="Balloon Text Char"/>
    <w:basedOn w:val="8"/>
    <w:link w:val="5"/>
    <w:semiHidden/>
    <w:qFormat/>
    <w:locked/>
    <w:uiPriority w:val="99"/>
    <w:rPr>
      <w:rFonts w:cs="Times New Roman"/>
      <w:sz w:val="2"/>
    </w:rPr>
  </w:style>
  <w:style w:type="character" w:customStyle="1" w:styleId="16">
    <w:name w:val="Footer Char"/>
    <w:basedOn w:val="8"/>
    <w:link w:val="6"/>
    <w:semiHidden/>
    <w:qFormat/>
    <w:locked/>
    <w:uiPriority w:val="99"/>
    <w:rPr>
      <w:rFonts w:cs="Times New Roman"/>
      <w:sz w:val="18"/>
      <w:szCs w:val="18"/>
    </w:rPr>
  </w:style>
  <w:style w:type="character" w:customStyle="1" w:styleId="17">
    <w:name w:val="Header Char"/>
    <w:basedOn w:val="8"/>
    <w:link w:val="7"/>
    <w:semiHidden/>
    <w:qFormat/>
    <w:locked/>
    <w:uiPriority w:val="99"/>
    <w:rPr>
      <w:rFonts w:cs="Times New Roman"/>
      <w:sz w:val="18"/>
      <w:szCs w:val="18"/>
    </w:rPr>
  </w:style>
  <w:style w:type="paragraph" w:customStyle="1" w:styleId="18">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2019-02-20T00:26:12Z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