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14" w:hanging="3514" w:hangingChars="1250"/>
        <w:rPr>
          <w:rFonts w:ascii="Times New Roman"/>
          <w:b/>
          <w:sz w:val="28"/>
          <w:szCs w:val="28"/>
        </w:rPr>
      </w:pPr>
    </w:p>
    <w:p>
      <w:pPr>
        <w:spacing w:line="360" w:lineRule="auto"/>
        <w:ind w:firstLine="562" w:firstLineChars="200"/>
        <w:rPr>
          <w:rFonts w:ascii="Times New Roman" w:hAnsi="Times New Roman"/>
          <w:b/>
          <w:sz w:val="28"/>
          <w:szCs w:val="28"/>
        </w:rPr>
      </w:pPr>
      <w:r>
        <w:rPr>
          <w:rFonts w:hint="eastAsia" w:ascii="Times New Roman"/>
          <w:b/>
          <w:sz w:val="28"/>
          <w:szCs w:val="28"/>
        </w:rPr>
        <w:t>东莞市鑫禾转印材料有限公司建设项目竣工环境保护验收意见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19</w:t>
      </w:r>
      <w:r>
        <w:rPr>
          <w:rFonts w:hint="eastAsia" w:ascii="Times New Roman"/>
          <w:sz w:val="24"/>
          <w:szCs w:val="24"/>
        </w:rPr>
        <w:t>年07月25日东莞市鑫禾转印材料有限公司根据东莞市鑫禾转印材料有限公司建设项目竣工环境保护验收报告并对照 《建设项目竣工环境保护验收暂行办法》，严格依照国家有关法律法规、建设项目竣工环境保护验收技术规范、本项目环境影响评价报告表和审批部门审批决定等要求对本项目进行验收，提出意见如下：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rPr>
        <w:t>东莞市鑫禾转印材料有限公司位于</w:t>
      </w:r>
      <w:r>
        <w:t>东莞市虎门镇龙眼第四厂区 1</w:t>
      </w:r>
      <w:r>
        <w:rPr>
          <w:rFonts w:hint="eastAsia"/>
        </w:rPr>
        <w:t>1</w:t>
      </w:r>
      <w:r>
        <w:t>路54号厂房一楼</w:t>
      </w:r>
      <w:r>
        <w:rPr>
          <w:rFonts w:hint="eastAsia"/>
        </w:rPr>
        <w:t>（北纬22</w:t>
      </w:r>
      <w:r>
        <w:t>°</w:t>
      </w:r>
      <w:r>
        <w:rPr>
          <w:rFonts w:hint="eastAsia"/>
        </w:rPr>
        <w:t>50</w:t>
      </w:r>
      <w:r>
        <w:t>′</w:t>
      </w:r>
      <w:r>
        <w:rPr>
          <w:rFonts w:hint="eastAsia"/>
        </w:rPr>
        <w:t>39.62"，东经113</w:t>
      </w:r>
      <w:r>
        <w:t>°</w:t>
      </w:r>
      <w:r>
        <w:rPr>
          <w:rFonts w:hint="eastAsia"/>
        </w:rPr>
        <w:t>41</w:t>
      </w:r>
      <w:r>
        <w:t>′</w:t>
      </w:r>
      <w:r>
        <w:rPr>
          <w:rFonts w:hint="eastAsia"/>
        </w:rPr>
        <w:t>42.76")。项目所在厂房为租用，占地面积2300</w:t>
      </w:r>
      <w:r>
        <w:rPr>
          <w:rFonts w:cs="Times New Roman"/>
        </w:rPr>
        <w:t xml:space="preserve"> m</w:t>
      </w:r>
      <w:r>
        <w:rPr>
          <w:rFonts w:cs="Times New Roman"/>
          <w:vertAlign w:val="superscript"/>
        </w:rPr>
        <w:t>2</w:t>
      </w:r>
      <w:r>
        <w:rPr>
          <w:rFonts w:hint="eastAsia"/>
        </w:rPr>
        <w:t>，建筑面</w:t>
      </w:r>
      <w:r>
        <w:rPr>
          <w:rFonts w:hint="eastAsia" w:cs="Times New Roman"/>
        </w:rPr>
        <w:t>积2300</w:t>
      </w:r>
      <w:r>
        <w:rPr>
          <w:rFonts w:cs="Times New Roman"/>
        </w:rPr>
        <w:t>m</w:t>
      </w:r>
      <w:r>
        <w:rPr>
          <w:rFonts w:cs="Times New Roman"/>
          <w:vertAlign w:val="superscript"/>
        </w:rPr>
        <w:t>2</w:t>
      </w:r>
      <w:r>
        <w:rPr>
          <w:rFonts w:hint="eastAsia" w:cs="Times New Roman"/>
        </w:rPr>
        <w:t>，项目总投资50万元，设有员工20人，主要从事不干胶膜的加工生产，实际年加工生产不干胶膜800吨。</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rPr>
        <w:t>项目于</w:t>
      </w:r>
      <w:r>
        <w:t>201</w:t>
      </w:r>
      <w:r>
        <w:rPr>
          <w:rFonts w:hint="eastAsia"/>
        </w:rPr>
        <w:t>8年5月</w:t>
      </w:r>
      <w:r>
        <w:rPr>
          <w:rFonts w:hint="eastAsia" w:cs="Times New Roman"/>
        </w:rPr>
        <w:t>委托了深圳市宗兴环保科技有限公司编制了《东莞市</w:t>
      </w:r>
      <w:r>
        <w:rPr>
          <w:rFonts w:hint="eastAsia"/>
        </w:rPr>
        <w:t>鑫禾转印材料有限公司</w:t>
      </w:r>
      <w:r>
        <w:rPr>
          <w:rFonts w:hint="eastAsia" w:cs="Times New Roman"/>
        </w:rPr>
        <w:t>建设项目环境影响报告表》 并通过了东莞市</w:t>
      </w:r>
      <w:r>
        <w:rPr>
          <w:rFonts w:hint="eastAsia" w:cs="Times New Roman"/>
          <w:color w:val="000000"/>
        </w:rPr>
        <w:t>环境保护局虎门分局的审批同意建设，编号为：东环建〔</w:t>
      </w:r>
      <w:r>
        <w:rPr>
          <w:rFonts w:cs="Times New Roman"/>
          <w:color w:val="000000"/>
        </w:rPr>
        <w:t>201</w:t>
      </w:r>
      <w:r>
        <w:rPr>
          <w:rFonts w:hint="eastAsia" w:cs="Times New Roman"/>
          <w:color w:val="000000"/>
        </w:rPr>
        <w:t>8〕3596号。</w:t>
      </w:r>
    </w:p>
    <w:p>
      <w:pPr>
        <w:pStyle w:val="19"/>
        <w:rPr>
          <w:highlight w:val="red"/>
        </w:rPr>
      </w:pPr>
      <w:r>
        <w:rPr>
          <w:rFonts w:hint="eastAsia"/>
        </w:rPr>
        <w:t>项目于</w:t>
      </w:r>
      <w:r>
        <w:t>201</w:t>
      </w:r>
      <w:r>
        <w:rPr>
          <w:rFonts w:hint="eastAsia"/>
        </w:rPr>
        <w:t>8年7月开工建设，已于</w:t>
      </w:r>
      <w:r>
        <w:t>201</w:t>
      </w:r>
      <w:r>
        <w:rPr>
          <w:rFonts w:hint="eastAsia"/>
        </w:rPr>
        <w:t>8年8月建设完成，设备安装完毕。</w:t>
      </w:r>
    </w:p>
    <w:p>
      <w:pPr>
        <w:pStyle w:val="19"/>
        <w:ind w:firstLine="482"/>
        <w:rPr>
          <w:rFonts w:cs="Times New Roman"/>
          <w:color w:val="000000"/>
        </w:rPr>
      </w:pPr>
      <w:r>
        <w:rPr>
          <w:rFonts w:hint="eastAsia"/>
          <w:b/>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rPr>
        <w:t>50</w:t>
      </w:r>
      <w:r>
        <w:rPr>
          <w:rFonts w:hint="eastAsia" w:ascii="Times New Roman"/>
          <w:sz w:val="24"/>
        </w:rPr>
        <w:t>万元，其中环保投资为</w:t>
      </w:r>
      <w:r>
        <w:rPr>
          <w:rFonts w:hint="eastAsia" w:ascii="Times New Roman" w:hAnsi="Times New Roman"/>
          <w:sz w:val="24"/>
        </w:rPr>
        <w:t>13</w:t>
      </w:r>
      <w:r>
        <w:rPr>
          <w:rFonts w:hint="eastAsia" w:ascii="Times New Roman"/>
          <w:sz w:val="24"/>
        </w:rPr>
        <w:t>万元，占总投资的</w:t>
      </w:r>
      <w:r>
        <w:rPr>
          <w:rFonts w:hint="eastAsia" w:ascii="Times New Roman" w:hAnsi="Times New Roman"/>
          <w:sz w:val="24"/>
        </w:rPr>
        <w:t>26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ascii="Times New Roman"/>
          <w:sz w:val="24"/>
          <w:szCs w:val="24"/>
        </w:rPr>
      </w:pPr>
      <w:r>
        <w:rPr>
          <w:rFonts w:hint="eastAsia" w:ascii="Times New Roman"/>
          <w:sz w:val="24"/>
          <w:szCs w:val="24"/>
        </w:rPr>
        <w:t>项目实际建设内容与环评批复的审批内容基本一致，无重大变动情况。</w:t>
      </w:r>
    </w:p>
    <w:p>
      <w:pPr>
        <w:adjustRightInd w:val="0"/>
        <w:spacing w:line="360" w:lineRule="auto"/>
        <w:ind w:firstLine="480" w:firstLineChars="200"/>
        <w:rPr>
          <w:rFonts w:ascii="Times New Roman"/>
          <w:sz w:val="24"/>
          <w:szCs w:val="24"/>
        </w:rPr>
      </w:pPr>
      <w:r>
        <w:rPr>
          <w:rFonts w:hint="eastAsia" w:ascii="Times New Roman"/>
          <w:sz w:val="24"/>
          <w:szCs w:val="24"/>
        </w:rPr>
        <w:t>现有设备详情（附表）</w:t>
      </w:r>
    </w:p>
    <w:p>
      <w:pPr>
        <w:adjustRightInd w:val="0"/>
        <w:spacing w:line="360" w:lineRule="auto"/>
        <w:ind w:firstLine="480" w:firstLineChars="200"/>
        <w:rPr>
          <w:rFonts w:ascii="Times New Roman"/>
          <w:sz w:val="24"/>
          <w:szCs w:val="24"/>
        </w:rPr>
      </w:pPr>
    </w:p>
    <w:p>
      <w:pPr>
        <w:adjustRightInd w:val="0"/>
        <w:spacing w:line="360" w:lineRule="auto"/>
        <w:ind w:firstLine="480" w:firstLineChars="200"/>
        <w:rPr>
          <w:rFonts w:ascii="Times New Roman"/>
          <w:sz w:val="24"/>
          <w:szCs w:val="24"/>
        </w:rPr>
      </w:pPr>
    </w:p>
    <w:tbl>
      <w:tblPr>
        <w:tblStyle w:val="8"/>
        <w:tblW w:w="9630"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27"/>
        <w:gridCol w:w="1417"/>
        <w:gridCol w:w="1418"/>
        <w:gridCol w:w="1984"/>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01" w:type="dxa"/>
          </w:tcPr>
          <w:p>
            <w:pPr>
              <w:adjustRightInd w:val="0"/>
              <w:spacing w:line="360" w:lineRule="auto"/>
              <w:jc w:val="center"/>
              <w:rPr>
                <w:rFonts w:ascii="Times New Roman"/>
                <w:b/>
                <w:bCs/>
                <w:sz w:val="24"/>
                <w:szCs w:val="24"/>
              </w:rPr>
            </w:pPr>
            <w:r>
              <w:rPr>
                <w:rFonts w:hint="eastAsia" w:ascii="Times New Roman"/>
                <w:b/>
                <w:bCs/>
                <w:sz w:val="24"/>
                <w:szCs w:val="24"/>
              </w:rPr>
              <w:t>序号</w:t>
            </w:r>
          </w:p>
        </w:tc>
        <w:tc>
          <w:tcPr>
            <w:tcW w:w="1727" w:type="dxa"/>
          </w:tcPr>
          <w:p>
            <w:pPr>
              <w:adjustRightInd w:val="0"/>
              <w:spacing w:line="360" w:lineRule="auto"/>
              <w:jc w:val="center"/>
              <w:rPr>
                <w:rFonts w:ascii="Times New Roman"/>
                <w:b/>
                <w:bCs/>
                <w:sz w:val="24"/>
                <w:szCs w:val="24"/>
              </w:rPr>
            </w:pPr>
            <w:r>
              <w:rPr>
                <w:rFonts w:hint="eastAsia" w:ascii="Times New Roman"/>
                <w:b/>
                <w:bCs/>
                <w:sz w:val="24"/>
                <w:szCs w:val="24"/>
              </w:rPr>
              <w:t>建设内容</w:t>
            </w:r>
          </w:p>
        </w:tc>
        <w:tc>
          <w:tcPr>
            <w:tcW w:w="1417" w:type="dxa"/>
          </w:tcPr>
          <w:p>
            <w:pPr>
              <w:adjustRightInd w:val="0"/>
              <w:spacing w:line="360" w:lineRule="auto"/>
              <w:jc w:val="center"/>
              <w:rPr>
                <w:rFonts w:ascii="Times New Roman"/>
                <w:b/>
                <w:bCs/>
                <w:sz w:val="24"/>
                <w:szCs w:val="24"/>
              </w:rPr>
            </w:pPr>
            <w:r>
              <w:rPr>
                <w:rFonts w:hint="eastAsia" w:ascii="Times New Roman"/>
                <w:b/>
                <w:bCs/>
                <w:sz w:val="24"/>
                <w:szCs w:val="24"/>
              </w:rPr>
              <w:t>环评数量</w:t>
            </w:r>
          </w:p>
        </w:tc>
        <w:tc>
          <w:tcPr>
            <w:tcW w:w="1418" w:type="dxa"/>
          </w:tcPr>
          <w:p>
            <w:pPr>
              <w:adjustRightInd w:val="0"/>
              <w:spacing w:line="360" w:lineRule="auto"/>
              <w:jc w:val="center"/>
              <w:rPr>
                <w:rFonts w:ascii="Times New Roman"/>
                <w:b/>
                <w:bCs/>
                <w:sz w:val="24"/>
                <w:szCs w:val="24"/>
              </w:rPr>
            </w:pPr>
            <w:r>
              <w:rPr>
                <w:rFonts w:hint="eastAsia" w:ascii="Times New Roman"/>
                <w:b/>
                <w:bCs/>
                <w:sz w:val="24"/>
                <w:szCs w:val="24"/>
              </w:rPr>
              <w:t>实际数量</w:t>
            </w:r>
          </w:p>
        </w:tc>
        <w:tc>
          <w:tcPr>
            <w:tcW w:w="1984" w:type="dxa"/>
            <w:vAlign w:val="center"/>
          </w:tcPr>
          <w:p>
            <w:pPr>
              <w:adjustRightInd w:val="0"/>
              <w:spacing w:line="360" w:lineRule="auto"/>
              <w:jc w:val="center"/>
              <w:rPr>
                <w:rFonts w:ascii="Times New Roman"/>
                <w:b/>
                <w:bCs/>
                <w:sz w:val="24"/>
                <w:szCs w:val="24"/>
              </w:rPr>
            </w:pPr>
            <w:r>
              <w:rPr>
                <w:rFonts w:hint="eastAsia" w:ascii="Times New Roman"/>
                <w:b/>
                <w:bCs/>
                <w:sz w:val="24"/>
                <w:szCs w:val="24"/>
              </w:rPr>
              <w:t>是否与环评一致</w:t>
            </w:r>
          </w:p>
        </w:tc>
        <w:tc>
          <w:tcPr>
            <w:tcW w:w="2183" w:type="dxa"/>
          </w:tcPr>
          <w:p>
            <w:pPr>
              <w:adjustRightInd w:val="0"/>
              <w:spacing w:line="360" w:lineRule="auto"/>
              <w:jc w:val="center"/>
              <w:rPr>
                <w:rFonts w:ascii="Times New Roman"/>
                <w:b/>
                <w:bCs/>
                <w:sz w:val="24"/>
                <w:szCs w:val="24"/>
              </w:rPr>
            </w:pPr>
            <w:r>
              <w:rPr>
                <w:rFonts w:hint="eastAsia" w:ascii="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01" w:type="dxa"/>
            <w:vAlign w:val="center"/>
          </w:tcPr>
          <w:p>
            <w:pPr>
              <w:adjustRightInd w:val="0"/>
              <w:spacing w:line="360" w:lineRule="auto"/>
              <w:jc w:val="center"/>
              <w:rPr>
                <w:rFonts w:ascii="Times New Roman"/>
                <w:sz w:val="24"/>
                <w:szCs w:val="24"/>
              </w:rPr>
            </w:pPr>
            <w:r>
              <w:rPr>
                <w:rFonts w:hint="eastAsia" w:ascii="Times New Roman"/>
                <w:sz w:val="24"/>
                <w:szCs w:val="24"/>
              </w:rPr>
              <w:t>1</w:t>
            </w:r>
          </w:p>
        </w:tc>
        <w:tc>
          <w:tcPr>
            <w:tcW w:w="1727" w:type="dxa"/>
          </w:tcPr>
          <w:p>
            <w:pPr>
              <w:adjustRightInd w:val="0"/>
              <w:spacing w:line="360" w:lineRule="auto"/>
              <w:jc w:val="center"/>
              <w:rPr>
                <w:rFonts w:ascii="Times New Roman"/>
                <w:sz w:val="24"/>
                <w:szCs w:val="24"/>
              </w:rPr>
            </w:pPr>
            <w:r>
              <w:rPr>
                <w:rFonts w:hint="eastAsia" w:ascii="Times New Roman"/>
                <w:sz w:val="24"/>
                <w:szCs w:val="24"/>
              </w:rPr>
              <w:t>涂布机</w:t>
            </w:r>
          </w:p>
        </w:tc>
        <w:tc>
          <w:tcPr>
            <w:tcW w:w="1417" w:type="dxa"/>
          </w:tcPr>
          <w:p>
            <w:pPr>
              <w:adjustRightInd w:val="0"/>
              <w:spacing w:line="360" w:lineRule="auto"/>
              <w:jc w:val="center"/>
              <w:rPr>
                <w:rFonts w:ascii="Times New Roman"/>
                <w:sz w:val="24"/>
                <w:szCs w:val="24"/>
              </w:rPr>
            </w:pPr>
            <w:r>
              <w:rPr>
                <w:rFonts w:hint="eastAsia" w:ascii="Times New Roman"/>
                <w:sz w:val="24"/>
                <w:szCs w:val="24"/>
              </w:rPr>
              <w:t>3台</w:t>
            </w:r>
          </w:p>
        </w:tc>
        <w:tc>
          <w:tcPr>
            <w:tcW w:w="1418" w:type="dxa"/>
          </w:tcPr>
          <w:p>
            <w:pPr>
              <w:adjustRightInd w:val="0"/>
              <w:spacing w:line="360" w:lineRule="auto"/>
              <w:jc w:val="center"/>
              <w:rPr>
                <w:rFonts w:ascii="Times New Roman"/>
                <w:sz w:val="24"/>
                <w:szCs w:val="24"/>
              </w:rPr>
            </w:pPr>
            <w:r>
              <w:rPr>
                <w:rFonts w:hint="eastAsia" w:ascii="Times New Roman"/>
                <w:sz w:val="24"/>
                <w:szCs w:val="24"/>
              </w:rPr>
              <w:t>3台</w:t>
            </w:r>
          </w:p>
        </w:tc>
        <w:tc>
          <w:tcPr>
            <w:tcW w:w="1984" w:type="dxa"/>
          </w:tcPr>
          <w:p>
            <w:pPr>
              <w:adjustRightInd w:val="0"/>
              <w:spacing w:line="360" w:lineRule="auto"/>
              <w:jc w:val="center"/>
              <w:rPr>
                <w:rFonts w:ascii="Times New Roman"/>
                <w:sz w:val="24"/>
                <w:szCs w:val="24"/>
              </w:rPr>
            </w:pPr>
            <w:r>
              <w:rPr>
                <w:rFonts w:hint="eastAsia" w:ascii="Times New Roman"/>
                <w:sz w:val="24"/>
                <w:szCs w:val="24"/>
              </w:rPr>
              <w:t>0</w:t>
            </w:r>
          </w:p>
        </w:tc>
        <w:tc>
          <w:tcPr>
            <w:tcW w:w="2183" w:type="dxa"/>
            <w:vAlign w:val="center"/>
          </w:tcPr>
          <w:p>
            <w:pPr>
              <w:adjustRightInd w:val="0"/>
              <w:spacing w:line="360" w:lineRule="auto"/>
              <w:jc w:val="center"/>
              <w:rPr>
                <w:rFonts w:ascii="Times New Roman"/>
                <w:sz w:val="24"/>
                <w:szCs w:val="24"/>
              </w:rPr>
            </w:pPr>
            <w:r>
              <w:rPr>
                <w:rFonts w:hint="eastAsia" w:ascii="Times New Roman"/>
                <w:sz w:val="24"/>
                <w:szCs w:val="24"/>
              </w:rPr>
              <w:t>涂布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01" w:type="dxa"/>
          </w:tcPr>
          <w:p>
            <w:pPr>
              <w:adjustRightInd w:val="0"/>
              <w:spacing w:line="360" w:lineRule="auto"/>
              <w:jc w:val="center"/>
              <w:rPr>
                <w:rFonts w:ascii="Times New Roman"/>
                <w:sz w:val="24"/>
                <w:szCs w:val="24"/>
              </w:rPr>
            </w:pPr>
            <w:r>
              <w:rPr>
                <w:rFonts w:hint="eastAsia" w:ascii="Times New Roman"/>
                <w:sz w:val="24"/>
                <w:szCs w:val="24"/>
              </w:rPr>
              <w:t>2</w:t>
            </w:r>
          </w:p>
        </w:tc>
        <w:tc>
          <w:tcPr>
            <w:tcW w:w="1727" w:type="dxa"/>
          </w:tcPr>
          <w:p>
            <w:pPr>
              <w:adjustRightInd w:val="0"/>
              <w:spacing w:line="360" w:lineRule="auto"/>
              <w:jc w:val="center"/>
              <w:rPr>
                <w:rFonts w:ascii="Times New Roman"/>
                <w:sz w:val="24"/>
                <w:szCs w:val="24"/>
              </w:rPr>
            </w:pPr>
            <w:r>
              <w:rPr>
                <w:rFonts w:hint="eastAsia" w:ascii="Times New Roman"/>
                <w:sz w:val="24"/>
                <w:szCs w:val="24"/>
              </w:rPr>
              <w:t>隧道式烤炉</w:t>
            </w:r>
          </w:p>
        </w:tc>
        <w:tc>
          <w:tcPr>
            <w:tcW w:w="1417" w:type="dxa"/>
          </w:tcPr>
          <w:p>
            <w:pPr>
              <w:adjustRightInd w:val="0"/>
              <w:spacing w:line="360" w:lineRule="auto"/>
              <w:jc w:val="center"/>
              <w:rPr>
                <w:rFonts w:ascii="Times New Roman"/>
                <w:sz w:val="24"/>
                <w:szCs w:val="24"/>
              </w:rPr>
            </w:pPr>
            <w:r>
              <w:rPr>
                <w:rFonts w:hint="eastAsia" w:ascii="Times New Roman"/>
                <w:sz w:val="24"/>
                <w:szCs w:val="24"/>
              </w:rPr>
              <w:t>3台</w:t>
            </w:r>
          </w:p>
        </w:tc>
        <w:tc>
          <w:tcPr>
            <w:tcW w:w="1418" w:type="dxa"/>
          </w:tcPr>
          <w:p>
            <w:pPr>
              <w:adjustRightInd w:val="0"/>
              <w:spacing w:line="360" w:lineRule="auto"/>
              <w:jc w:val="center"/>
              <w:rPr>
                <w:rFonts w:ascii="Times New Roman"/>
                <w:sz w:val="24"/>
                <w:szCs w:val="24"/>
              </w:rPr>
            </w:pPr>
            <w:r>
              <w:rPr>
                <w:rFonts w:hint="eastAsia" w:ascii="Times New Roman"/>
                <w:sz w:val="24"/>
                <w:szCs w:val="24"/>
              </w:rPr>
              <w:t>3台</w:t>
            </w:r>
          </w:p>
        </w:tc>
        <w:tc>
          <w:tcPr>
            <w:tcW w:w="1984" w:type="dxa"/>
          </w:tcPr>
          <w:p>
            <w:pPr>
              <w:adjustRightInd w:val="0"/>
              <w:spacing w:line="360" w:lineRule="auto"/>
              <w:jc w:val="center"/>
              <w:rPr>
                <w:rFonts w:ascii="Times New Roman"/>
                <w:sz w:val="24"/>
                <w:szCs w:val="24"/>
              </w:rPr>
            </w:pPr>
            <w:r>
              <w:rPr>
                <w:rFonts w:hint="eastAsia" w:ascii="Times New Roman"/>
                <w:sz w:val="24"/>
                <w:szCs w:val="24"/>
              </w:rPr>
              <w:t>0</w:t>
            </w:r>
          </w:p>
        </w:tc>
        <w:tc>
          <w:tcPr>
            <w:tcW w:w="2183" w:type="dxa"/>
            <w:vAlign w:val="center"/>
          </w:tcPr>
          <w:p>
            <w:pPr>
              <w:adjustRightInd w:val="0"/>
              <w:spacing w:line="360" w:lineRule="auto"/>
              <w:jc w:val="center"/>
              <w:rPr>
                <w:rFonts w:ascii="Times New Roman"/>
                <w:bCs/>
                <w:sz w:val="24"/>
                <w:szCs w:val="24"/>
              </w:rPr>
            </w:pPr>
            <w:r>
              <w:rPr>
                <w:rFonts w:hint="eastAsia" w:ascii="Times New Roman"/>
                <w:bCs/>
                <w:sz w:val="24"/>
                <w:szCs w:val="24"/>
              </w:rPr>
              <w:t>烘烤(天然气加热)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901" w:type="dxa"/>
          </w:tcPr>
          <w:p>
            <w:pPr>
              <w:adjustRightInd w:val="0"/>
              <w:spacing w:line="360" w:lineRule="auto"/>
              <w:jc w:val="center"/>
              <w:rPr>
                <w:rFonts w:ascii="Times New Roman"/>
                <w:sz w:val="24"/>
                <w:szCs w:val="24"/>
              </w:rPr>
            </w:pPr>
            <w:r>
              <w:rPr>
                <w:rFonts w:hint="eastAsia" w:ascii="Times New Roman"/>
                <w:sz w:val="24"/>
                <w:szCs w:val="24"/>
              </w:rPr>
              <w:t>3</w:t>
            </w:r>
          </w:p>
        </w:tc>
        <w:tc>
          <w:tcPr>
            <w:tcW w:w="1727" w:type="dxa"/>
          </w:tcPr>
          <w:p>
            <w:pPr>
              <w:adjustRightInd w:val="0"/>
              <w:spacing w:line="360" w:lineRule="auto"/>
              <w:jc w:val="center"/>
              <w:rPr>
                <w:rFonts w:ascii="Times New Roman"/>
                <w:sz w:val="24"/>
                <w:szCs w:val="24"/>
              </w:rPr>
            </w:pPr>
            <w:r>
              <w:rPr>
                <w:rFonts w:hint="eastAsia" w:ascii="Times New Roman"/>
                <w:sz w:val="24"/>
                <w:szCs w:val="24"/>
              </w:rPr>
              <w:t>燃烧炉</w:t>
            </w:r>
          </w:p>
        </w:tc>
        <w:tc>
          <w:tcPr>
            <w:tcW w:w="1417" w:type="dxa"/>
            <w:vAlign w:val="center"/>
          </w:tcPr>
          <w:p>
            <w:pPr>
              <w:adjustRightInd w:val="0"/>
              <w:spacing w:line="360" w:lineRule="auto"/>
              <w:jc w:val="center"/>
              <w:rPr>
                <w:rFonts w:ascii="Times New Roman"/>
                <w:sz w:val="24"/>
                <w:szCs w:val="24"/>
              </w:rPr>
            </w:pPr>
            <w:r>
              <w:rPr>
                <w:rFonts w:hint="eastAsia" w:ascii="Times New Roman"/>
                <w:sz w:val="24"/>
                <w:szCs w:val="24"/>
              </w:rPr>
              <w:t>3台</w:t>
            </w:r>
          </w:p>
        </w:tc>
        <w:tc>
          <w:tcPr>
            <w:tcW w:w="1418" w:type="dxa"/>
            <w:vAlign w:val="center"/>
          </w:tcPr>
          <w:p>
            <w:pPr>
              <w:adjustRightInd w:val="0"/>
              <w:spacing w:line="360" w:lineRule="auto"/>
              <w:jc w:val="center"/>
              <w:rPr>
                <w:rFonts w:ascii="Times New Roman"/>
                <w:sz w:val="24"/>
                <w:szCs w:val="24"/>
              </w:rPr>
            </w:pPr>
            <w:r>
              <w:rPr>
                <w:rFonts w:hint="eastAsia" w:ascii="Times New Roman"/>
                <w:sz w:val="24"/>
                <w:szCs w:val="24"/>
              </w:rPr>
              <w:t>2台</w:t>
            </w:r>
          </w:p>
        </w:tc>
        <w:tc>
          <w:tcPr>
            <w:tcW w:w="1984" w:type="dxa"/>
            <w:vAlign w:val="center"/>
          </w:tcPr>
          <w:p>
            <w:pPr>
              <w:adjustRightInd w:val="0"/>
              <w:spacing w:line="360" w:lineRule="auto"/>
              <w:jc w:val="center"/>
              <w:rPr>
                <w:rFonts w:ascii="Times New Roman"/>
                <w:sz w:val="24"/>
                <w:szCs w:val="24"/>
              </w:rPr>
            </w:pPr>
            <w:r>
              <w:rPr>
                <w:rFonts w:hint="eastAsia" w:ascii="Times New Roman"/>
                <w:sz w:val="24"/>
                <w:szCs w:val="24"/>
              </w:rPr>
              <w:t>-1台</w:t>
            </w:r>
          </w:p>
        </w:tc>
        <w:tc>
          <w:tcPr>
            <w:tcW w:w="2183" w:type="dxa"/>
          </w:tcPr>
          <w:p>
            <w:pPr>
              <w:adjustRightInd w:val="0"/>
              <w:spacing w:line="360" w:lineRule="auto"/>
              <w:jc w:val="center"/>
              <w:rPr>
                <w:rFonts w:ascii="Times New Roman"/>
                <w:bCs/>
                <w:sz w:val="24"/>
                <w:szCs w:val="24"/>
              </w:rPr>
            </w:pPr>
            <w:r>
              <w:rPr>
                <w:rFonts w:hint="eastAsia" w:ascii="Times New Roman"/>
                <w:bCs/>
                <w:sz w:val="24"/>
                <w:szCs w:val="24"/>
              </w:rPr>
              <w:t>天然气</w:t>
            </w:r>
            <w:r>
              <w:rPr>
                <w:rFonts w:hint="eastAsia" w:ascii="Times New Roman"/>
                <w:sz w:val="24"/>
                <w:szCs w:val="24"/>
              </w:rPr>
              <w:t>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01" w:type="dxa"/>
          </w:tcPr>
          <w:p>
            <w:pPr>
              <w:adjustRightInd w:val="0"/>
              <w:spacing w:line="360" w:lineRule="auto"/>
              <w:jc w:val="center"/>
              <w:rPr>
                <w:rFonts w:ascii="Times New Roman"/>
                <w:sz w:val="24"/>
                <w:szCs w:val="24"/>
              </w:rPr>
            </w:pPr>
            <w:r>
              <w:rPr>
                <w:rFonts w:hint="eastAsia" w:ascii="Times New Roman"/>
                <w:sz w:val="24"/>
                <w:szCs w:val="24"/>
              </w:rPr>
              <w:t>4</w:t>
            </w:r>
          </w:p>
        </w:tc>
        <w:tc>
          <w:tcPr>
            <w:tcW w:w="1727" w:type="dxa"/>
          </w:tcPr>
          <w:p>
            <w:pPr>
              <w:adjustRightInd w:val="0"/>
              <w:spacing w:line="360" w:lineRule="auto"/>
              <w:jc w:val="center"/>
              <w:rPr>
                <w:rFonts w:ascii="Times New Roman"/>
                <w:sz w:val="24"/>
                <w:szCs w:val="24"/>
              </w:rPr>
            </w:pPr>
            <w:r>
              <w:rPr>
                <w:rFonts w:hint="eastAsia" w:ascii="Times New Roman"/>
                <w:sz w:val="24"/>
                <w:szCs w:val="24"/>
              </w:rPr>
              <w:t>分条机</w:t>
            </w:r>
          </w:p>
        </w:tc>
        <w:tc>
          <w:tcPr>
            <w:tcW w:w="1417" w:type="dxa"/>
          </w:tcPr>
          <w:p>
            <w:pPr>
              <w:adjustRightInd w:val="0"/>
              <w:spacing w:line="360" w:lineRule="auto"/>
              <w:jc w:val="center"/>
              <w:rPr>
                <w:rFonts w:ascii="Times New Roman"/>
                <w:sz w:val="24"/>
                <w:szCs w:val="24"/>
              </w:rPr>
            </w:pPr>
            <w:r>
              <w:rPr>
                <w:rFonts w:hint="eastAsia" w:ascii="Times New Roman"/>
                <w:sz w:val="24"/>
                <w:szCs w:val="24"/>
              </w:rPr>
              <w:t>2台</w:t>
            </w:r>
          </w:p>
        </w:tc>
        <w:tc>
          <w:tcPr>
            <w:tcW w:w="1418" w:type="dxa"/>
          </w:tcPr>
          <w:p>
            <w:pPr>
              <w:adjustRightInd w:val="0"/>
              <w:spacing w:line="360" w:lineRule="auto"/>
              <w:jc w:val="center"/>
              <w:rPr>
                <w:rFonts w:ascii="Times New Roman"/>
                <w:sz w:val="24"/>
                <w:szCs w:val="24"/>
              </w:rPr>
            </w:pPr>
            <w:r>
              <w:rPr>
                <w:rFonts w:hint="eastAsia" w:ascii="Times New Roman"/>
                <w:sz w:val="24"/>
                <w:szCs w:val="24"/>
              </w:rPr>
              <w:t>2台</w:t>
            </w:r>
          </w:p>
        </w:tc>
        <w:tc>
          <w:tcPr>
            <w:tcW w:w="1984" w:type="dxa"/>
          </w:tcPr>
          <w:p>
            <w:pPr>
              <w:adjustRightInd w:val="0"/>
              <w:spacing w:line="360" w:lineRule="auto"/>
              <w:jc w:val="center"/>
              <w:rPr>
                <w:rFonts w:ascii="Times New Roman"/>
                <w:sz w:val="24"/>
                <w:szCs w:val="24"/>
              </w:rPr>
            </w:pPr>
            <w:r>
              <w:rPr>
                <w:rFonts w:hint="eastAsia" w:ascii="Times New Roman"/>
                <w:sz w:val="24"/>
                <w:szCs w:val="24"/>
              </w:rPr>
              <w:t>0</w:t>
            </w:r>
          </w:p>
        </w:tc>
        <w:tc>
          <w:tcPr>
            <w:tcW w:w="2183" w:type="dxa"/>
            <w:vAlign w:val="center"/>
          </w:tcPr>
          <w:p>
            <w:pPr>
              <w:adjustRightInd w:val="0"/>
              <w:spacing w:line="360" w:lineRule="auto"/>
              <w:jc w:val="center"/>
              <w:rPr>
                <w:rFonts w:ascii="Times New Roman"/>
                <w:bCs/>
                <w:sz w:val="24"/>
                <w:szCs w:val="24"/>
              </w:rPr>
            </w:pPr>
            <w:r>
              <w:rPr>
                <w:rFonts w:hint="eastAsia" w:ascii="Times New Roman"/>
                <w:sz w:val="24"/>
                <w:szCs w:val="24"/>
              </w:rPr>
              <w:t>分条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01" w:type="dxa"/>
          </w:tcPr>
          <w:p>
            <w:pPr>
              <w:adjustRightInd w:val="0"/>
              <w:spacing w:line="360" w:lineRule="auto"/>
              <w:jc w:val="center"/>
              <w:rPr>
                <w:rFonts w:ascii="Times New Roman"/>
                <w:sz w:val="24"/>
                <w:szCs w:val="24"/>
              </w:rPr>
            </w:pPr>
            <w:r>
              <w:rPr>
                <w:rFonts w:hint="eastAsia" w:ascii="Times New Roman"/>
                <w:sz w:val="24"/>
                <w:szCs w:val="24"/>
              </w:rPr>
              <w:t>5</w:t>
            </w:r>
          </w:p>
        </w:tc>
        <w:tc>
          <w:tcPr>
            <w:tcW w:w="1727" w:type="dxa"/>
          </w:tcPr>
          <w:p>
            <w:pPr>
              <w:adjustRightInd w:val="0"/>
              <w:spacing w:line="360" w:lineRule="auto"/>
              <w:jc w:val="center"/>
              <w:rPr>
                <w:rFonts w:ascii="Times New Roman"/>
                <w:sz w:val="24"/>
                <w:szCs w:val="24"/>
              </w:rPr>
            </w:pPr>
            <w:r>
              <w:rPr>
                <w:rFonts w:hint="eastAsia" w:ascii="Times New Roman"/>
                <w:sz w:val="24"/>
                <w:szCs w:val="24"/>
              </w:rPr>
              <w:t>切张机</w:t>
            </w:r>
          </w:p>
        </w:tc>
        <w:tc>
          <w:tcPr>
            <w:tcW w:w="1417" w:type="dxa"/>
          </w:tcPr>
          <w:p>
            <w:pPr>
              <w:adjustRightInd w:val="0"/>
              <w:spacing w:line="360" w:lineRule="auto"/>
              <w:jc w:val="center"/>
              <w:rPr>
                <w:rFonts w:ascii="Times New Roman"/>
                <w:sz w:val="24"/>
                <w:szCs w:val="24"/>
              </w:rPr>
            </w:pPr>
            <w:r>
              <w:rPr>
                <w:rFonts w:hint="eastAsia" w:ascii="Times New Roman"/>
                <w:sz w:val="24"/>
                <w:szCs w:val="24"/>
              </w:rPr>
              <w:t>2台</w:t>
            </w:r>
          </w:p>
        </w:tc>
        <w:tc>
          <w:tcPr>
            <w:tcW w:w="1418" w:type="dxa"/>
          </w:tcPr>
          <w:p>
            <w:pPr>
              <w:adjustRightInd w:val="0"/>
              <w:spacing w:line="360" w:lineRule="auto"/>
              <w:jc w:val="center"/>
              <w:rPr>
                <w:rFonts w:ascii="Times New Roman"/>
                <w:sz w:val="24"/>
                <w:szCs w:val="24"/>
              </w:rPr>
            </w:pPr>
            <w:r>
              <w:rPr>
                <w:rFonts w:hint="eastAsia" w:ascii="Times New Roman"/>
                <w:sz w:val="24"/>
                <w:szCs w:val="24"/>
              </w:rPr>
              <w:t>2台</w:t>
            </w:r>
          </w:p>
        </w:tc>
        <w:tc>
          <w:tcPr>
            <w:tcW w:w="1984" w:type="dxa"/>
          </w:tcPr>
          <w:p>
            <w:pPr>
              <w:adjustRightInd w:val="0"/>
              <w:spacing w:line="360" w:lineRule="auto"/>
              <w:jc w:val="center"/>
              <w:rPr>
                <w:rFonts w:ascii="Times New Roman"/>
                <w:sz w:val="24"/>
                <w:szCs w:val="24"/>
              </w:rPr>
            </w:pPr>
            <w:r>
              <w:rPr>
                <w:rFonts w:hint="eastAsia" w:ascii="Times New Roman"/>
                <w:sz w:val="24"/>
                <w:szCs w:val="24"/>
              </w:rPr>
              <w:t>0</w:t>
            </w:r>
          </w:p>
        </w:tc>
        <w:tc>
          <w:tcPr>
            <w:tcW w:w="2183" w:type="dxa"/>
            <w:vAlign w:val="center"/>
          </w:tcPr>
          <w:p>
            <w:pPr>
              <w:adjustRightInd w:val="0"/>
              <w:spacing w:line="360" w:lineRule="auto"/>
              <w:jc w:val="center"/>
              <w:rPr>
                <w:rFonts w:ascii="Times New Roman"/>
                <w:bCs/>
                <w:sz w:val="24"/>
                <w:szCs w:val="24"/>
              </w:rPr>
            </w:pPr>
            <w:r>
              <w:rPr>
                <w:rFonts w:hint="eastAsia" w:ascii="Times New Roman"/>
                <w:sz w:val="24"/>
                <w:szCs w:val="24"/>
              </w:rPr>
              <w:t>切张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01" w:type="dxa"/>
          </w:tcPr>
          <w:p>
            <w:pPr>
              <w:adjustRightInd w:val="0"/>
              <w:spacing w:line="360" w:lineRule="auto"/>
              <w:jc w:val="center"/>
              <w:rPr>
                <w:rFonts w:ascii="Times New Roman"/>
                <w:sz w:val="24"/>
                <w:szCs w:val="24"/>
              </w:rPr>
            </w:pPr>
            <w:r>
              <w:rPr>
                <w:rFonts w:hint="eastAsia" w:ascii="Times New Roman"/>
                <w:sz w:val="24"/>
                <w:szCs w:val="24"/>
              </w:rPr>
              <w:t>6</w:t>
            </w:r>
          </w:p>
        </w:tc>
        <w:tc>
          <w:tcPr>
            <w:tcW w:w="1727" w:type="dxa"/>
          </w:tcPr>
          <w:p>
            <w:pPr>
              <w:adjustRightInd w:val="0"/>
              <w:spacing w:line="360" w:lineRule="auto"/>
              <w:jc w:val="center"/>
              <w:rPr>
                <w:rFonts w:ascii="Times New Roman"/>
                <w:sz w:val="24"/>
                <w:szCs w:val="24"/>
              </w:rPr>
            </w:pPr>
            <w:r>
              <w:rPr>
                <w:rFonts w:hint="eastAsia" w:ascii="Times New Roman"/>
                <w:sz w:val="24"/>
                <w:szCs w:val="24"/>
              </w:rPr>
              <w:t>飞边机</w:t>
            </w:r>
          </w:p>
        </w:tc>
        <w:tc>
          <w:tcPr>
            <w:tcW w:w="1417"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18"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984" w:type="dxa"/>
          </w:tcPr>
          <w:p>
            <w:pPr>
              <w:adjustRightInd w:val="0"/>
              <w:spacing w:line="360" w:lineRule="auto"/>
              <w:jc w:val="center"/>
              <w:rPr>
                <w:rFonts w:ascii="Times New Roman"/>
                <w:sz w:val="24"/>
                <w:szCs w:val="24"/>
              </w:rPr>
            </w:pPr>
            <w:r>
              <w:rPr>
                <w:rFonts w:hint="eastAsia" w:ascii="Times New Roman"/>
                <w:sz w:val="24"/>
                <w:szCs w:val="24"/>
              </w:rPr>
              <w:t>0</w:t>
            </w:r>
          </w:p>
        </w:tc>
        <w:tc>
          <w:tcPr>
            <w:tcW w:w="2183" w:type="dxa"/>
          </w:tcPr>
          <w:p>
            <w:pPr>
              <w:adjustRightInd w:val="0"/>
              <w:spacing w:line="360" w:lineRule="auto"/>
              <w:jc w:val="center"/>
              <w:rPr>
                <w:rFonts w:ascii="Times New Roman"/>
                <w:bCs/>
                <w:sz w:val="24"/>
                <w:szCs w:val="24"/>
              </w:rPr>
            </w:pPr>
            <w:r>
              <w:rPr>
                <w:rFonts w:hint="eastAsia" w:ascii="Times New Roman"/>
                <w:sz w:val="24"/>
                <w:szCs w:val="24"/>
              </w:rPr>
              <w:t>飞边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01" w:type="dxa"/>
          </w:tcPr>
          <w:p>
            <w:pPr>
              <w:adjustRightInd w:val="0"/>
              <w:spacing w:line="360" w:lineRule="auto"/>
              <w:jc w:val="center"/>
              <w:rPr>
                <w:rFonts w:ascii="Times New Roman"/>
                <w:sz w:val="24"/>
                <w:szCs w:val="24"/>
              </w:rPr>
            </w:pPr>
            <w:r>
              <w:rPr>
                <w:rFonts w:hint="eastAsia" w:ascii="Times New Roman"/>
                <w:sz w:val="24"/>
                <w:szCs w:val="24"/>
              </w:rPr>
              <w:t>7</w:t>
            </w:r>
          </w:p>
        </w:tc>
        <w:tc>
          <w:tcPr>
            <w:tcW w:w="1727" w:type="dxa"/>
          </w:tcPr>
          <w:p>
            <w:pPr>
              <w:adjustRightInd w:val="0"/>
              <w:spacing w:line="360" w:lineRule="auto"/>
              <w:jc w:val="center"/>
              <w:rPr>
                <w:rFonts w:ascii="Times New Roman"/>
                <w:sz w:val="24"/>
                <w:szCs w:val="24"/>
              </w:rPr>
            </w:pPr>
            <w:r>
              <w:rPr>
                <w:rFonts w:hint="eastAsia" w:ascii="Times New Roman"/>
                <w:sz w:val="24"/>
                <w:szCs w:val="24"/>
              </w:rPr>
              <w:t>搅拌机</w:t>
            </w:r>
          </w:p>
        </w:tc>
        <w:tc>
          <w:tcPr>
            <w:tcW w:w="1417"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18"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984" w:type="dxa"/>
          </w:tcPr>
          <w:p>
            <w:pPr>
              <w:adjustRightInd w:val="0"/>
              <w:spacing w:line="360" w:lineRule="auto"/>
              <w:jc w:val="center"/>
              <w:rPr>
                <w:rFonts w:ascii="Times New Roman"/>
                <w:sz w:val="24"/>
                <w:szCs w:val="24"/>
              </w:rPr>
            </w:pPr>
            <w:r>
              <w:rPr>
                <w:rFonts w:hint="eastAsia" w:ascii="Times New Roman"/>
                <w:sz w:val="24"/>
                <w:szCs w:val="24"/>
              </w:rPr>
              <w:t>0</w:t>
            </w:r>
          </w:p>
        </w:tc>
        <w:tc>
          <w:tcPr>
            <w:tcW w:w="2183" w:type="dxa"/>
            <w:vAlign w:val="center"/>
          </w:tcPr>
          <w:p>
            <w:pPr>
              <w:adjustRightInd w:val="0"/>
              <w:spacing w:line="360" w:lineRule="auto"/>
              <w:jc w:val="center"/>
              <w:rPr>
                <w:rFonts w:ascii="Times New Roman"/>
                <w:bCs/>
                <w:sz w:val="24"/>
                <w:szCs w:val="24"/>
              </w:rPr>
            </w:pPr>
            <w:r>
              <w:rPr>
                <w:rFonts w:hint="eastAsia" w:ascii="Times New Roman"/>
                <w:sz w:val="24"/>
                <w:szCs w:val="24"/>
              </w:rPr>
              <w:t>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01" w:type="dxa"/>
          </w:tcPr>
          <w:p>
            <w:pPr>
              <w:adjustRightInd w:val="0"/>
              <w:spacing w:line="360" w:lineRule="auto"/>
              <w:jc w:val="center"/>
              <w:rPr>
                <w:rFonts w:ascii="Times New Roman"/>
                <w:sz w:val="24"/>
                <w:szCs w:val="24"/>
              </w:rPr>
            </w:pPr>
            <w:r>
              <w:rPr>
                <w:rFonts w:hint="eastAsia" w:ascii="Times New Roman"/>
                <w:sz w:val="24"/>
                <w:szCs w:val="24"/>
              </w:rPr>
              <w:t>8</w:t>
            </w:r>
          </w:p>
        </w:tc>
        <w:tc>
          <w:tcPr>
            <w:tcW w:w="1727" w:type="dxa"/>
          </w:tcPr>
          <w:p>
            <w:pPr>
              <w:adjustRightInd w:val="0"/>
              <w:spacing w:line="360" w:lineRule="auto"/>
              <w:jc w:val="center"/>
              <w:rPr>
                <w:rFonts w:ascii="Times New Roman"/>
                <w:sz w:val="24"/>
                <w:szCs w:val="24"/>
              </w:rPr>
            </w:pPr>
            <w:r>
              <w:rPr>
                <w:rFonts w:hint="eastAsia" w:ascii="Times New Roman"/>
                <w:sz w:val="24"/>
                <w:szCs w:val="24"/>
              </w:rPr>
              <w:t>接力试验机</w:t>
            </w:r>
          </w:p>
        </w:tc>
        <w:tc>
          <w:tcPr>
            <w:tcW w:w="1417"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18"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984" w:type="dxa"/>
          </w:tcPr>
          <w:p>
            <w:pPr>
              <w:adjustRightInd w:val="0"/>
              <w:spacing w:line="360" w:lineRule="auto"/>
              <w:jc w:val="center"/>
              <w:rPr>
                <w:rFonts w:ascii="Times New Roman"/>
                <w:sz w:val="24"/>
                <w:szCs w:val="24"/>
              </w:rPr>
            </w:pPr>
            <w:r>
              <w:rPr>
                <w:rFonts w:hint="eastAsia" w:ascii="Times New Roman"/>
                <w:sz w:val="24"/>
                <w:szCs w:val="24"/>
              </w:rPr>
              <w:t>0</w:t>
            </w:r>
          </w:p>
        </w:tc>
        <w:tc>
          <w:tcPr>
            <w:tcW w:w="2183" w:type="dxa"/>
          </w:tcPr>
          <w:p>
            <w:pPr>
              <w:adjustRightInd w:val="0"/>
              <w:spacing w:line="360" w:lineRule="auto"/>
              <w:jc w:val="center"/>
              <w:rPr>
                <w:rFonts w:ascii="Times New Roman"/>
                <w:bCs/>
                <w:sz w:val="24"/>
                <w:szCs w:val="24"/>
              </w:rPr>
            </w:pPr>
            <w:r>
              <w:rPr>
                <w:rFonts w:hint="eastAsia" w:ascii="Times New Roman"/>
                <w:sz w:val="24"/>
                <w:szCs w:val="24"/>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01" w:type="dxa"/>
          </w:tcPr>
          <w:p>
            <w:pPr>
              <w:adjustRightInd w:val="0"/>
              <w:spacing w:line="360" w:lineRule="auto"/>
              <w:jc w:val="center"/>
              <w:rPr>
                <w:rFonts w:ascii="Times New Roman"/>
                <w:sz w:val="24"/>
                <w:szCs w:val="24"/>
              </w:rPr>
            </w:pPr>
            <w:r>
              <w:rPr>
                <w:rFonts w:hint="eastAsia" w:ascii="Times New Roman"/>
                <w:sz w:val="24"/>
                <w:szCs w:val="24"/>
              </w:rPr>
              <w:t>9</w:t>
            </w:r>
          </w:p>
        </w:tc>
        <w:tc>
          <w:tcPr>
            <w:tcW w:w="1727" w:type="dxa"/>
          </w:tcPr>
          <w:p>
            <w:pPr>
              <w:adjustRightInd w:val="0"/>
              <w:spacing w:line="360" w:lineRule="auto"/>
              <w:jc w:val="center"/>
              <w:rPr>
                <w:rFonts w:ascii="Times New Roman"/>
                <w:sz w:val="24"/>
                <w:szCs w:val="24"/>
              </w:rPr>
            </w:pPr>
            <w:r>
              <w:rPr>
                <w:rFonts w:hint="eastAsia" w:ascii="Times New Roman"/>
                <w:sz w:val="24"/>
                <w:szCs w:val="24"/>
              </w:rPr>
              <w:t>空压机</w:t>
            </w:r>
          </w:p>
        </w:tc>
        <w:tc>
          <w:tcPr>
            <w:tcW w:w="1417"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418" w:type="dxa"/>
          </w:tcPr>
          <w:p>
            <w:pPr>
              <w:adjustRightInd w:val="0"/>
              <w:spacing w:line="360" w:lineRule="auto"/>
              <w:jc w:val="center"/>
              <w:rPr>
                <w:rFonts w:ascii="Times New Roman"/>
                <w:sz w:val="24"/>
                <w:szCs w:val="24"/>
              </w:rPr>
            </w:pPr>
            <w:r>
              <w:rPr>
                <w:rFonts w:hint="eastAsia" w:ascii="Times New Roman"/>
                <w:sz w:val="24"/>
                <w:szCs w:val="24"/>
              </w:rPr>
              <w:t>1台</w:t>
            </w:r>
          </w:p>
        </w:tc>
        <w:tc>
          <w:tcPr>
            <w:tcW w:w="1984" w:type="dxa"/>
          </w:tcPr>
          <w:p>
            <w:pPr>
              <w:adjustRightInd w:val="0"/>
              <w:spacing w:line="360" w:lineRule="auto"/>
              <w:jc w:val="center"/>
              <w:rPr>
                <w:rFonts w:ascii="Times New Roman"/>
                <w:sz w:val="24"/>
                <w:szCs w:val="24"/>
              </w:rPr>
            </w:pPr>
            <w:r>
              <w:rPr>
                <w:rFonts w:hint="eastAsia" w:ascii="Times New Roman"/>
                <w:sz w:val="24"/>
                <w:szCs w:val="24"/>
              </w:rPr>
              <w:t>0</w:t>
            </w:r>
          </w:p>
        </w:tc>
        <w:tc>
          <w:tcPr>
            <w:tcW w:w="2183" w:type="dxa"/>
          </w:tcPr>
          <w:p>
            <w:pPr>
              <w:adjustRightInd w:val="0"/>
              <w:spacing w:line="360" w:lineRule="auto"/>
              <w:jc w:val="center"/>
              <w:rPr>
                <w:rFonts w:ascii="Times New Roman"/>
                <w:bCs/>
                <w:sz w:val="24"/>
                <w:szCs w:val="24"/>
              </w:rPr>
            </w:pPr>
            <w:r>
              <w:rPr>
                <w:rFonts w:hint="eastAsia" w:ascii="Times New Roman"/>
                <w:bCs/>
                <w:sz w:val="24"/>
                <w:szCs w:val="24"/>
              </w:rPr>
              <w:t>提供压缩空气</w:t>
            </w:r>
          </w:p>
        </w:tc>
      </w:tr>
    </w:tbl>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不排放生产性废水</w:t>
      </w:r>
      <w:r>
        <w:rPr>
          <w:rFonts w:hint="eastAsia" w:ascii="Times New Roman" w:hAnsi="Times New Roman"/>
          <w:sz w:val="24"/>
          <w:szCs w:val="24"/>
        </w:rPr>
        <w:t>。项目</w:t>
      </w:r>
      <w:r>
        <w:rPr>
          <w:rFonts w:ascii="宋体" w:hAnsi="宋体" w:cs="宋体"/>
          <w:sz w:val="24"/>
          <w:szCs w:val="24"/>
        </w:rPr>
        <w:t>生活污水经</w:t>
      </w:r>
      <w:r>
        <w:rPr>
          <w:rFonts w:hint="eastAsia" w:ascii="宋体" w:hAnsi="宋体" w:cs="宋体"/>
          <w:sz w:val="24"/>
          <w:szCs w:val="24"/>
        </w:rPr>
        <w:t>三级化粪池</w:t>
      </w:r>
      <w:r>
        <w:rPr>
          <w:rFonts w:ascii="宋体" w:hAnsi="宋体" w:cs="宋体"/>
          <w:sz w:val="24"/>
          <w:szCs w:val="24"/>
        </w:rPr>
        <w:t>处理达到广东省《水污染物排放限值》（DB44/26-2001）第二时段三级标准后排入市政截污管网，引至东莞市虎门宁洲污水处理厂处理。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500" w:lineRule="exact"/>
        <w:ind w:firstLine="480" w:firstLineChars="200"/>
        <w:rPr>
          <w:rFonts w:ascii="宋体" w:hAnsi="宋体" w:cs="宋体"/>
          <w:sz w:val="24"/>
          <w:szCs w:val="24"/>
        </w:rPr>
      </w:pPr>
      <w:r>
        <w:rPr>
          <w:rFonts w:hint="eastAsia" w:ascii="宋体" w:hAnsi="宋体" w:cs="宋体"/>
          <w:sz w:val="24"/>
          <w:szCs w:val="24"/>
        </w:rPr>
        <w:t>项目</w:t>
      </w:r>
      <w:r>
        <w:rPr>
          <w:rFonts w:ascii="宋体" w:hAnsi="宋体" w:cs="宋体"/>
          <w:sz w:val="24"/>
          <w:szCs w:val="24"/>
        </w:rPr>
        <w:t>搅拌、</w:t>
      </w:r>
      <w:r>
        <w:rPr>
          <w:rFonts w:hint="eastAsia" w:ascii="宋体" w:hAnsi="宋体" w:cs="宋体"/>
          <w:sz w:val="24"/>
          <w:szCs w:val="24"/>
        </w:rPr>
        <w:t>涂布、烘烤、燃烧</w:t>
      </w:r>
      <w:r>
        <w:rPr>
          <w:rFonts w:ascii="宋体" w:hAnsi="宋体" w:cs="宋体"/>
          <w:sz w:val="24"/>
          <w:szCs w:val="24"/>
        </w:rPr>
        <w:t>工序产生的</w:t>
      </w:r>
      <w:r>
        <w:rPr>
          <w:rFonts w:hint="eastAsia" w:ascii="宋体" w:hAnsi="宋体" w:cs="宋体"/>
          <w:sz w:val="24"/>
          <w:szCs w:val="24"/>
        </w:rPr>
        <w:t>有机</w:t>
      </w:r>
      <w:r>
        <w:rPr>
          <w:rFonts w:ascii="宋体" w:hAnsi="宋体" w:cs="宋体"/>
          <w:sz w:val="24"/>
          <w:szCs w:val="24"/>
        </w:rPr>
        <w:t>废气</w:t>
      </w:r>
      <w:r>
        <w:rPr>
          <w:rFonts w:hint="eastAsia" w:ascii="宋体" w:hAnsi="宋体" w:cs="宋体"/>
          <w:sz w:val="24"/>
          <w:szCs w:val="24"/>
        </w:rPr>
        <w:t>经集气装置收集后引至“UV光解催化装置+活性炭吸附装置”</w:t>
      </w:r>
      <w:r>
        <w:rPr>
          <w:rFonts w:ascii="宋体" w:hAnsi="宋体" w:cs="宋体"/>
          <w:sz w:val="24"/>
          <w:szCs w:val="24"/>
        </w:rPr>
        <w:t>配套处理设施处理后高空排放，</w:t>
      </w:r>
      <w:r>
        <w:rPr>
          <w:rFonts w:hint="eastAsia" w:ascii="宋体" w:hAnsi="宋体" w:cs="宋体"/>
          <w:sz w:val="24"/>
          <w:szCs w:val="24"/>
        </w:rPr>
        <w:t>项目</w:t>
      </w:r>
      <w:r>
        <w:rPr>
          <w:rFonts w:ascii="宋体" w:hAnsi="宋体" w:cs="宋体"/>
          <w:sz w:val="24"/>
          <w:szCs w:val="24"/>
        </w:rPr>
        <w:t>搅拌、</w:t>
      </w:r>
      <w:r>
        <w:rPr>
          <w:rFonts w:hint="eastAsia" w:ascii="宋体" w:hAnsi="宋体" w:cs="宋体"/>
          <w:sz w:val="24"/>
          <w:szCs w:val="24"/>
        </w:rPr>
        <w:t>涂布、烘烤</w:t>
      </w:r>
      <w:r>
        <w:rPr>
          <w:rFonts w:ascii="宋体" w:hAnsi="宋体" w:cs="宋体"/>
          <w:sz w:val="24"/>
          <w:szCs w:val="24"/>
        </w:rPr>
        <w:t>工序</w:t>
      </w:r>
      <w:r>
        <w:rPr>
          <w:rFonts w:hint="eastAsia" w:ascii="宋体" w:hAnsi="宋体" w:cs="宋体"/>
          <w:sz w:val="24"/>
          <w:szCs w:val="24"/>
        </w:rPr>
        <w:t>产生的 苯、甲苯、二甲苯、总</w:t>
      </w:r>
      <w:r>
        <w:rPr>
          <w:rFonts w:ascii="宋体" w:hAnsi="宋体" w:cs="宋体"/>
          <w:sz w:val="24"/>
          <w:szCs w:val="24"/>
        </w:rPr>
        <w:t>VOCs废气排放</w:t>
      </w:r>
      <w:r>
        <w:rPr>
          <w:rFonts w:hint="eastAsia" w:ascii="宋体" w:hAnsi="宋体" w:cs="宋体"/>
          <w:sz w:val="24"/>
          <w:szCs w:val="24"/>
        </w:rPr>
        <w:t>达到</w:t>
      </w:r>
      <w:r>
        <w:rPr>
          <w:rFonts w:ascii="宋体" w:hAnsi="宋体" w:cs="宋体"/>
          <w:sz w:val="24"/>
          <w:szCs w:val="24"/>
        </w:rPr>
        <w:t>广东省《家具制造行业挥发性有机化合物排放标准》（DB44/814-2010）第</w:t>
      </w:r>
      <w:r>
        <w:rPr>
          <w:rFonts w:hint="eastAsia" w:ascii="宋体" w:hAnsi="宋体" w:cs="宋体"/>
          <w:sz w:val="24"/>
          <w:szCs w:val="24"/>
        </w:rPr>
        <w:t>Ⅱ</w:t>
      </w:r>
      <w:r>
        <w:rPr>
          <w:rFonts w:ascii="宋体" w:hAnsi="宋体" w:cs="宋体"/>
          <w:sz w:val="24"/>
          <w:szCs w:val="24"/>
        </w:rPr>
        <w:t>时段排气筒 VOCs 排放限值；</w:t>
      </w:r>
      <w:r>
        <w:rPr>
          <w:rFonts w:hint="eastAsia" w:ascii="宋体" w:hAnsi="宋体" w:cs="宋体"/>
          <w:sz w:val="24"/>
          <w:szCs w:val="24"/>
        </w:rPr>
        <w:t>燃烧</w:t>
      </w:r>
      <w:r>
        <w:rPr>
          <w:rFonts w:ascii="宋体" w:hAnsi="宋体" w:cs="宋体"/>
          <w:sz w:val="24"/>
          <w:szCs w:val="24"/>
        </w:rPr>
        <w:t>工序</w:t>
      </w:r>
      <w:r>
        <w:rPr>
          <w:rFonts w:hint="eastAsia" w:ascii="宋体" w:hAnsi="宋体" w:cs="宋体"/>
          <w:sz w:val="24"/>
          <w:szCs w:val="24"/>
        </w:rPr>
        <w:t>产生的SO</w:t>
      </w:r>
      <w:r>
        <w:rPr>
          <w:rFonts w:hint="eastAsia" w:ascii="宋体" w:hAnsi="宋体" w:cs="宋体"/>
          <w:sz w:val="15"/>
          <w:szCs w:val="15"/>
        </w:rPr>
        <w:t>2</w:t>
      </w:r>
      <w:r>
        <w:rPr>
          <w:rFonts w:hint="eastAsia" w:ascii="宋体" w:hAnsi="宋体" w:cs="宋体"/>
          <w:sz w:val="24"/>
          <w:szCs w:val="24"/>
        </w:rPr>
        <w:t>、NO</w:t>
      </w:r>
      <w:r>
        <w:rPr>
          <w:rFonts w:hint="eastAsia" w:ascii="宋体" w:hAnsi="宋体" w:cs="宋体"/>
          <w:szCs w:val="21"/>
        </w:rPr>
        <w:t>x</w:t>
      </w:r>
      <w:r>
        <w:rPr>
          <w:rFonts w:hint="eastAsia" w:ascii="宋体" w:hAnsi="宋体" w:cs="宋体"/>
          <w:sz w:val="24"/>
          <w:szCs w:val="24"/>
        </w:rPr>
        <w:t>、烟尘</w:t>
      </w:r>
      <w:r>
        <w:rPr>
          <w:rFonts w:ascii="宋体" w:hAnsi="宋体" w:cs="宋体"/>
          <w:sz w:val="24"/>
          <w:szCs w:val="24"/>
        </w:rPr>
        <w:t>废气排放</w:t>
      </w:r>
      <w:r>
        <w:rPr>
          <w:rFonts w:hint="eastAsia" w:ascii="宋体" w:hAnsi="宋体" w:cs="宋体"/>
          <w:sz w:val="24"/>
          <w:szCs w:val="24"/>
        </w:rPr>
        <w:t>达到</w:t>
      </w:r>
      <w:r>
        <w:rPr>
          <w:rFonts w:ascii="宋体" w:hAnsi="宋体" w:cs="宋体"/>
          <w:sz w:val="24"/>
          <w:szCs w:val="24"/>
        </w:rPr>
        <w:t>《锅炉大气污染物排放标准》（GB13271-2014）新建燃气锅炉大气污染物排放浓度限值</w:t>
      </w:r>
      <w:r>
        <w:rPr>
          <w:rFonts w:hint="eastAsia" w:ascii="宋体" w:hAnsi="宋体" w:cs="宋体"/>
          <w:sz w:val="24"/>
          <w:szCs w:val="24"/>
        </w:rPr>
        <w:t>。</w:t>
      </w:r>
    </w:p>
    <w:p>
      <w:pPr>
        <w:spacing w:line="360" w:lineRule="auto"/>
        <w:ind w:firstLine="482" w:firstLineChars="200"/>
        <w:outlineLvl w:val="0"/>
        <w:rPr>
          <w:rFonts w:ascii="Times New Roman" w:hAnsi="Times New Roman"/>
          <w:b/>
          <w:bCs/>
          <w:sz w:val="24"/>
          <w:szCs w:val="24"/>
        </w:rPr>
      </w:pPr>
      <w:r>
        <w:rPr>
          <w:rFonts w:hint="eastAsia" w:ascii="Times New Roman" w:hAnsi="Times New Roman"/>
          <w:b/>
          <w:sz w:val="24"/>
          <w:szCs w:val="24"/>
        </w:rPr>
        <w:t>（三）</w:t>
      </w:r>
      <w:r>
        <w:rPr>
          <w:rFonts w:hint="eastAsia" w:ascii="Times New Roman" w:hAnsi="Times New Roman"/>
          <w:b/>
          <w:bCs/>
          <w:sz w:val="24"/>
          <w:szCs w:val="24"/>
        </w:rPr>
        <w:t>噪声</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项目做好生产设备的消声降噪措施，厂界噪声达到《工业企业厂界环境噪声排放标准》（</w:t>
      </w:r>
      <w:r>
        <w:rPr>
          <w:rFonts w:ascii="Times New Roman" w:hAnsi="Times New Roman"/>
          <w:sz w:val="24"/>
          <w:szCs w:val="24"/>
        </w:rPr>
        <w:t>GB12348-2008</w:t>
      </w:r>
      <w:r>
        <w:rPr>
          <w:rFonts w:hint="eastAsia" w:ascii="Times New Roman" w:hAnsi="Times New Roman"/>
          <w:sz w:val="24"/>
          <w:szCs w:val="24"/>
        </w:rPr>
        <w:t>）</w:t>
      </w:r>
      <w:r>
        <w:t>3</w:t>
      </w:r>
      <w:r>
        <w:rPr>
          <w:rFonts w:hint="eastAsia" w:ascii="Times New Roman" w:hAnsi="Times New Roman"/>
          <w:sz w:val="24"/>
          <w:szCs w:val="24"/>
        </w:rPr>
        <w:t>类标准。</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cs="宋体"/>
          <w:sz w:val="24"/>
          <w:szCs w:val="24"/>
        </w:rPr>
      </w:pPr>
      <w:r>
        <w:rPr>
          <w:rFonts w:hint="eastAsia" w:ascii="Times New Roman" w:hAnsi="Times New Roman"/>
          <w:sz w:val="24"/>
          <w:szCs w:val="24"/>
        </w:rPr>
        <w:t>项目</w:t>
      </w:r>
      <w:r>
        <w:rPr>
          <w:rFonts w:ascii="Times New Roman" w:hAnsi="Times New Roman"/>
          <w:sz w:val="24"/>
          <w:szCs w:val="24"/>
        </w:rPr>
        <w:t>不排放生产性废水。</w:t>
      </w:r>
      <w:r>
        <w:rPr>
          <w:rFonts w:hint="eastAsia" w:ascii="Times New Roman" w:hAnsi="Times New Roman"/>
          <w:sz w:val="24"/>
          <w:szCs w:val="24"/>
        </w:rPr>
        <w:t>项目</w:t>
      </w:r>
      <w:r>
        <w:rPr>
          <w:rFonts w:ascii="宋体" w:hAnsi="宋体" w:cs="宋体"/>
          <w:sz w:val="24"/>
          <w:szCs w:val="24"/>
        </w:rPr>
        <w:t>生活污水经</w:t>
      </w:r>
      <w:r>
        <w:rPr>
          <w:rFonts w:hint="eastAsia" w:ascii="宋体" w:hAnsi="宋体" w:cs="宋体"/>
          <w:sz w:val="24"/>
          <w:szCs w:val="24"/>
        </w:rPr>
        <w:t>三级化粪池</w:t>
      </w:r>
      <w:r>
        <w:rPr>
          <w:rFonts w:ascii="宋体" w:hAnsi="宋体" w:cs="宋体"/>
          <w:sz w:val="24"/>
          <w:szCs w:val="24"/>
        </w:rPr>
        <w:t>处理达到广东省《水污染物排放限值》（DB44/26-2001）第二时段三级标准后排入市政截污管网，引至东莞市虎门宁洲污水处理厂处理。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cs="宋体"/>
          <w:sz w:val="24"/>
          <w:szCs w:val="24"/>
        </w:rPr>
        <w:t>HSJC（验字）20190717002</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500" w:lineRule="exact"/>
        <w:ind w:firstLine="480" w:firstLineChars="200"/>
        <w:rPr>
          <w:rFonts w:ascii="宋体" w:hAnsi="宋体" w:cs="宋体"/>
          <w:sz w:val="24"/>
          <w:szCs w:val="24"/>
        </w:rPr>
      </w:pPr>
      <w:r>
        <w:rPr>
          <w:rFonts w:hint="eastAsia" w:ascii="宋体" w:hAnsi="宋体" w:cs="宋体"/>
          <w:sz w:val="24"/>
          <w:szCs w:val="24"/>
        </w:rPr>
        <w:t>项目</w:t>
      </w:r>
      <w:r>
        <w:rPr>
          <w:rFonts w:ascii="宋体" w:hAnsi="宋体" w:cs="宋体"/>
          <w:sz w:val="24"/>
          <w:szCs w:val="24"/>
        </w:rPr>
        <w:t>搅拌、</w:t>
      </w:r>
      <w:r>
        <w:rPr>
          <w:rFonts w:hint="eastAsia" w:ascii="宋体" w:hAnsi="宋体" w:cs="宋体"/>
          <w:sz w:val="24"/>
          <w:szCs w:val="24"/>
        </w:rPr>
        <w:t>涂布、烘烤、燃烧</w:t>
      </w:r>
      <w:r>
        <w:rPr>
          <w:rFonts w:ascii="宋体" w:hAnsi="宋体" w:cs="宋体"/>
          <w:sz w:val="24"/>
          <w:szCs w:val="24"/>
        </w:rPr>
        <w:t>工序产生的</w:t>
      </w:r>
      <w:r>
        <w:rPr>
          <w:rFonts w:hint="eastAsia" w:ascii="宋体" w:hAnsi="宋体" w:cs="宋体"/>
          <w:sz w:val="24"/>
          <w:szCs w:val="24"/>
        </w:rPr>
        <w:t>有机</w:t>
      </w:r>
      <w:r>
        <w:rPr>
          <w:rFonts w:ascii="宋体" w:hAnsi="宋体" w:cs="宋体"/>
          <w:sz w:val="24"/>
          <w:szCs w:val="24"/>
        </w:rPr>
        <w:t>废气</w:t>
      </w:r>
      <w:r>
        <w:rPr>
          <w:rFonts w:hint="eastAsia" w:ascii="宋体" w:hAnsi="宋体" w:cs="宋体"/>
          <w:sz w:val="24"/>
          <w:szCs w:val="24"/>
        </w:rPr>
        <w:t>经集气装置收集后引至“UV光解催化装置+活性炭吸附装置”</w:t>
      </w:r>
      <w:r>
        <w:rPr>
          <w:rFonts w:ascii="宋体" w:hAnsi="宋体" w:cs="宋体"/>
          <w:sz w:val="24"/>
          <w:szCs w:val="24"/>
        </w:rPr>
        <w:t>配套处理设施处理后高空排放，</w:t>
      </w:r>
      <w:r>
        <w:rPr>
          <w:rFonts w:hint="eastAsia" w:ascii="宋体" w:hAnsi="宋体" w:cs="宋体"/>
          <w:sz w:val="24"/>
          <w:szCs w:val="24"/>
        </w:rPr>
        <w:t>项目</w:t>
      </w:r>
      <w:r>
        <w:rPr>
          <w:rFonts w:ascii="宋体" w:hAnsi="宋体" w:cs="宋体"/>
          <w:sz w:val="24"/>
          <w:szCs w:val="24"/>
        </w:rPr>
        <w:t>搅拌、</w:t>
      </w:r>
      <w:r>
        <w:rPr>
          <w:rFonts w:hint="eastAsia" w:ascii="宋体" w:hAnsi="宋体" w:cs="宋体"/>
          <w:sz w:val="24"/>
          <w:szCs w:val="24"/>
        </w:rPr>
        <w:t>涂布、烘烤</w:t>
      </w:r>
      <w:r>
        <w:rPr>
          <w:rFonts w:ascii="宋体" w:hAnsi="宋体" w:cs="宋体"/>
          <w:sz w:val="24"/>
          <w:szCs w:val="24"/>
        </w:rPr>
        <w:t>工序</w:t>
      </w:r>
      <w:r>
        <w:rPr>
          <w:rFonts w:hint="eastAsia" w:ascii="宋体" w:hAnsi="宋体" w:cs="宋体"/>
          <w:sz w:val="24"/>
          <w:szCs w:val="24"/>
        </w:rPr>
        <w:t>产生的 苯、甲苯、二甲苯、总</w:t>
      </w:r>
      <w:r>
        <w:rPr>
          <w:rFonts w:ascii="宋体" w:hAnsi="宋体" w:cs="宋体"/>
          <w:sz w:val="24"/>
          <w:szCs w:val="24"/>
        </w:rPr>
        <w:t>VOCs废气排放</w:t>
      </w:r>
      <w:r>
        <w:rPr>
          <w:rFonts w:hint="eastAsia" w:ascii="宋体" w:hAnsi="宋体" w:cs="宋体"/>
          <w:sz w:val="24"/>
          <w:szCs w:val="24"/>
        </w:rPr>
        <w:t>达到</w:t>
      </w:r>
      <w:r>
        <w:rPr>
          <w:rFonts w:ascii="宋体" w:hAnsi="宋体" w:cs="宋体"/>
          <w:sz w:val="24"/>
          <w:szCs w:val="24"/>
        </w:rPr>
        <w:t>广东省《家具制造行业挥发性有机化合物排放标准》（DB44/814-2010）第</w:t>
      </w:r>
      <w:r>
        <w:rPr>
          <w:rFonts w:hint="eastAsia" w:ascii="宋体" w:hAnsi="宋体" w:cs="宋体"/>
          <w:sz w:val="24"/>
          <w:szCs w:val="24"/>
        </w:rPr>
        <w:t>Ⅱ</w:t>
      </w:r>
      <w:r>
        <w:rPr>
          <w:rFonts w:ascii="宋体" w:hAnsi="宋体" w:cs="宋体"/>
          <w:sz w:val="24"/>
          <w:szCs w:val="24"/>
        </w:rPr>
        <w:t>时段排气筒 VOCs 排放限值；</w:t>
      </w:r>
      <w:r>
        <w:rPr>
          <w:rFonts w:hint="eastAsia" w:ascii="宋体" w:hAnsi="宋体" w:cs="宋体"/>
          <w:sz w:val="24"/>
          <w:szCs w:val="24"/>
        </w:rPr>
        <w:t>燃烧</w:t>
      </w:r>
      <w:r>
        <w:rPr>
          <w:rFonts w:ascii="宋体" w:hAnsi="宋体" w:cs="宋体"/>
          <w:sz w:val="24"/>
          <w:szCs w:val="24"/>
        </w:rPr>
        <w:t>工序</w:t>
      </w:r>
      <w:r>
        <w:rPr>
          <w:rFonts w:hint="eastAsia" w:ascii="宋体" w:hAnsi="宋体" w:cs="宋体"/>
          <w:sz w:val="24"/>
          <w:szCs w:val="24"/>
        </w:rPr>
        <w:t>产生的SO</w:t>
      </w:r>
      <w:r>
        <w:rPr>
          <w:rFonts w:hint="eastAsia" w:ascii="宋体" w:hAnsi="宋体" w:cs="宋体"/>
          <w:sz w:val="15"/>
          <w:szCs w:val="15"/>
        </w:rPr>
        <w:t>2</w:t>
      </w:r>
      <w:r>
        <w:rPr>
          <w:rFonts w:hint="eastAsia" w:ascii="宋体" w:hAnsi="宋体" w:cs="宋体"/>
          <w:sz w:val="24"/>
          <w:szCs w:val="24"/>
        </w:rPr>
        <w:t>、NO</w:t>
      </w:r>
      <w:r>
        <w:rPr>
          <w:rFonts w:hint="eastAsia" w:ascii="宋体" w:hAnsi="宋体" w:cs="宋体"/>
          <w:szCs w:val="21"/>
        </w:rPr>
        <w:t>x</w:t>
      </w:r>
      <w:r>
        <w:rPr>
          <w:rFonts w:hint="eastAsia" w:ascii="宋体" w:hAnsi="宋体" w:cs="宋体"/>
          <w:sz w:val="24"/>
          <w:szCs w:val="24"/>
        </w:rPr>
        <w:t>、烟尘</w:t>
      </w:r>
      <w:r>
        <w:rPr>
          <w:rFonts w:ascii="宋体" w:hAnsi="宋体" w:cs="宋体"/>
          <w:sz w:val="24"/>
          <w:szCs w:val="24"/>
        </w:rPr>
        <w:t>废气排放</w:t>
      </w:r>
      <w:r>
        <w:rPr>
          <w:rFonts w:hint="eastAsia" w:ascii="宋体" w:hAnsi="宋体" w:cs="宋体"/>
          <w:sz w:val="24"/>
          <w:szCs w:val="24"/>
        </w:rPr>
        <w:t>达到</w:t>
      </w:r>
      <w:r>
        <w:rPr>
          <w:rFonts w:ascii="宋体" w:hAnsi="宋体" w:cs="宋体"/>
          <w:sz w:val="24"/>
          <w:szCs w:val="24"/>
        </w:rPr>
        <w:t>《锅炉大气污染物排放标准》（GB13271-2014）新建燃气锅炉大气污染物排放浓度限值</w:t>
      </w:r>
      <w:r>
        <w:rPr>
          <w:rFonts w:hint="eastAsia" w:ascii="宋体" w:hAnsi="宋体" w:cs="宋体"/>
          <w:sz w:val="24"/>
          <w:szCs w:val="24"/>
        </w:rPr>
        <w:t>。</w:t>
      </w:r>
      <w:bookmarkStart w:id="0" w:name="_GoBack"/>
      <w:bookmarkEnd w:id="0"/>
      <w:r>
        <w:rPr>
          <w:rFonts w:hint="eastAsia" w:ascii="Times New Roman" w:hAnsi="Times New Roman"/>
          <w:sz w:val="24"/>
          <w:szCs w:val="24"/>
        </w:rPr>
        <w:t>见监测报告</w:t>
      </w:r>
      <w:r>
        <w:rPr>
          <w:rFonts w:hint="eastAsia" w:ascii="宋体" w:hAnsi="宋体" w:cs="宋体"/>
          <w:sz w:val="24"/>
          <w:szCs w:val="24"/>
        </w:rPr>
        <w:t>HSJC（验字）20190717002</w:t>
      </w:r>
    </w:p>
    <w:p>
      <w:pPr>
        <w:numPr>
          <w:ilvl w:val="0"/>
          <w:numId w:val="1"/>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项目已做好生产设备的消声降噪措施，厂界噪声达到《工业企业厂界环境噪声排放标准》（</w:t>
      </w:r>
      <w:r>
        <w:rPr>
          <w:rFonts w:ascii="Times New Roman" w:hAnsi="Times New Roman"/>
          <w:sz w:val="24"/>
          <w:szCs w:val="24"/>
        </w:rPr>
        <w:t>GB12348-2008</w:t>
      </w:r>
      <w:r>
        <w:rPr>
          <w:rFonts w:hint="eastAsia" w:ascii="Times New Roman" w:hAnsi="Times New Roman"/>
          <w:sz w:val="24"/>
          <w:szCs w:val="24"/>
        </w:rPr>
        <w:t>）3类标准。见监测报告</w:t>
      </w:r>
      <w:r>
        <w:rPr>
          <w:rFonts w:hint="eastAsia" w:ascii="宋体" w:hAnsi="宋体" w:cs="宋体"/>
          <w:sz w:val="24"/>
          <w:szCs w:val="24"/>
        </w:rPr>
        <w:t>HSJC（验字）20190717002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500" w:lineRule="exact"/>
        <w:ind w:firstLine="480" w:firstLineChars="200"/>
        <w:rPr>
          <w:rFonts w:ascii="宋体" w:hAnsi="宋体" w:cs="宋体"/>
          <w:sz w:val="24"/>
          <w:szCs w:val="24"/>
        </w:rPr>
      </w:pPr>
      <w:r>
        <w:rPr>
          <w:rFonts w:hint="eastAsia" w:ascii="Times New Roman" w:hAnsi="Times New Roman"/>
          <w:sz w:val="24"/>
          <w:szCs w:val="24"/>
        </w:rPr>
        <w:t>项目</w:t>
      </w:r>
      <w:r>
        <w:rPr>
          <w:rFonts w:ascii="Times New Roman" w:hAnsi="Times New Roman"/>
          <w:sz w:val="24"/>
          <w:szCs w:val="24"/>
        </w:rPr>
        <w:t>不排放生产性废水</w:t>
      </w:r>
      <w:r>
        <w:rPr>
          <w:rFonts w:hint="eastAsia" w:ascii="Times New Roman" w:hAnsi="Times New Roman"/>
          <w:sz w:val="24"/>
          <w:szCs w:val="24"/>
        </w:rPr>
        <w:t>；项目生活污水经三级化粪池处理，排入市政截污管网</w:t>
      </w:r>
      <w:r>
        <w:rPr>
          <w:rFonts w:ascii="宋体" w:hAnsi="宋体" w:cs="宋体"/>
          <w:sz w:val="24"/>
          <w:szCs w:val="24"/>
        </w:rPr>
        <w:t>引至东莞市虎门宁洲污水处理厂处理</w:t>
      </w:r>
      <w:r>
        <w:rPr>
          <w:rFonts w:hint="eastAsia" w:ascii="Times New Roman" w:hAnsi="Times New Roman"/>
          <w:sz w:val="24"/>
          <w:szCs w:val="24"/>
        </w:rPr>
        <w:t>后达标排放；</w:t>
      </w:r>
      <w:r>
        <w:rPr>
          <w:rFonts w:hint="eastAsia" w:ascii="宋体" w:hAnsi="宋体" w:cs="宋体"/>
          <w:sz w:val="24"/>
          <w:szCs w:val="24"/>
        </w:rPr>
        <w:t>项目</w:t>
      </w:r>
      <w:r>
        <w:rPr>
          <w:rFonts w:ascii="宋体" w:hAnsi="宋体" w:cs="宋体"/>
          <w:sz w:val="24"/>
          <w:szCs w:val="24"/>
        </w:rPr>
        <w:t>搅拌、</w:t>
      </w:r>
      <w:r>
        <w:rPr>
          <w:rFonts w:hint="eastAsia" w:ascii="宋体" w:hAnsi="宋体" w:cs="宋体"/>
          <w:sz w:val="24"/>
          <w:szCs w:val="24"/>
        </w:rPr>
        <w:t>涂布、烘烤、燃烧</w:t>
      </w:r>
      <w:r>
        <w:rPr>
          <w:rFonts w:ascii="宋体" w:hAnsi="宋体" w:cs="宋体"/>
          <w:sz w:val="24"/>
          <w:szCs w:val="24"/>
        </w:rPr>
        <w:t>工序产生的</w:t>
      </w:r>
      <w:r>
        <w:rPr>
          <w:rFonts w:hint="eastAsia" w:ascii="宋体" w:hAnsi="宋体" w:cs="宋体"/>
          <w:sz w:val="24"/>
          <w:szCs w:val="24"/>
        </w:rPr>
        <w:t>有机</w:t>
      </w:r>
      <w:r>
        <w:rPr>
          <w:rFonts w:ascii="宋体" w:hAnsi="宋体" w:cs="宋体"/>
          <w:sz w:val="24"/>
          <w:szCs w:val="24"/>
        </w:rPr>
        <w:t>废气</w:t>
      </w:r>
      <w:r>
        <w:rPr>
          <w:rFonts w:hint="eastAsia" w:ascii="宋体" w:hAnsi="宋体" w:cs="宋体"/>
          <w:sz w:val="24"/>
          <w:szCs w:val="24"/>
        </w:rPr>
        <w:t>经集气装置收集后引至“UV光解催化装置+活性炭吸附装置”</w:t>
      </w:r>
      <w:r>
        <w:rPr>
          <w:rFonts w:ascii="宋体" w:hAnsi="宋体" w:cs="宋体"/>
          <w:sz w:val="24"/>
          <w:szCs w:val="24"/>
        </w:rPr>
        <w:t>配套处理设施处理后高空排放</w:t>
      </w:r>
      <w:r>
        <w:rPr>
          <w:rFonts w:hint="eastAsia" w:ascii="宋体" w:hAnsi="宋体" w:cs="宋体"/>
          <w:sz w:val="24"/>
          <w:szCs w:val="24"/>
        </w:rPr>
        <w:t>；</w:t>
      </w:r>
      <w:r>
        <w:rPr>
          <w:rFonts w:hint="eastAsia" w:ascii="Times New Roman" w:hAnsi="Times New Roman"/>
          <w:sz w:val="24"/>
          <w:szCs w:val="24"/>
        </w:rPr>
        <w:t>项目已做好生产设备的消声降噪措施，对周边环境不会产生明显的影响。</w:t>
      </w:r>
    </w:p>
    <w:p>
      <w:pPr>
        <w:spacing w:line="360" w:lineRule="auto"/>
        <w:ind w:firstLine="964" w:firstLineChars="4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要求，验收监测报告总体符合相关技术规范，项目废水、废气、噪声污染物防治通过验收。项目不从事夜间生产，如若项目需从事夜间生产，再申报夜间噪音达标验收。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hint="eastAsia" w:ascii="Times New Roman" w:hAnsi="Times New Roman"/>
          <w:color w:val="0000FF"/>
          <w:sz w:val="24"/>
          <w:szCs w:val="24"/>
        </w:rPr>
      </w:pPr>
    </w:p>
    <w:p>
      <w:pPr>
        <w:spacing w:line="360" w:lineRule="auto"/>
        <w:ind w:firstLine="2640" w:firstLineChars="1100"/>
        <w:rPr>
          <w:rFonts w:hint="eastAsia" w:ascii="Times New Roman" w:hAnsi="Times New Roman"/>
          <w:color w:val="0000FF"/>
          <w:sz w:val="24"/>
          <w:szCs w:val="24"/>
        </w:rPr>
      </w:pPr>
    </w:p>
    <w:p>
      <w:pPr>
        <w:spacing w:line="360" w:lineRule="auto"/>
        <w:ind w:firstLine="2640" w:firstLineChars="1100"/>
        <w:rPr>
          <w:rFonts w:hint="eastAsia"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sz w:val="24"/>
          <w:szCs w:val="24"/>
        </w:rPr>
      </w:pP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wordWrap w:val="0"/>
        <w:spacing w:line="360" w:lineRule="auto"/>
        <w:ind w:firstLine="562" w:firstLineChars="200"/>
        <w:jc w:val="right"/>
        <w:rPr>
          <w:rFonts w:ascii="Times New Roman"/>
          <w:b/>
          <w:sz w:val="28"/>
          <w:szCs w:val="28"/>
        </w:rPr>
      </w:pPr>
      <w:r>
        <w:rPr>
          <w:rFonts w:hint="eastAsia" w:ascii="Times New Roman"/>
          <w:b/>
          <w:sz w:val="28"/>
          <w:szCs w:val="28"/>
        </w:rPr>
        <w:t>东莞市鑫禾转印材料有限公司</w:t>
      </w:r>
    </w:p>
    <w:p>
      <w:pPr>
        <w:spacing w:line="360" w:lineRule="auto"/>
        <w:ind w:right="480" w:firstLine="6626" w:firstLineChars="2750"/>
        <w:rPr>
          <w:rFonts w:ascii="Times New Roman" w:hAnsi="Times New Roman"/>
          <w:b/>
          <w:sz w:val="24"/>
          <w:szCs w:val="24"/>
          <w:u w:val="single"/>
        </w:rPr>
      </w:pPr>
      <w:r>
        <w:rPr>
          <w:rFonts w:ascii="Times New Roman" w:hAnsi="Times New Roman"/>
          <w:b/>
          <w:sz w:val="24"/>
          <w:szCs w:val="24"/>
        </w:rPr>
        <w:t>201</w:t>
      </w:r>
      <w:r>
        <w:rPr>
          <w:rFonts w:hint="eastAsia" w:ascii="Times New Roman" w:hAnsi="Times New Roman"/>
          <w:b/>
          <w:sz w:val="24"/>
          <w:szCs w:val="24"/>
        </w:rPr>
        <w:t>9</w:t>
      </w:r>
      <w:r>
        <w:rPr>
          <w:rFonts w:ascii="Times New Roman" w:hAnsi="Times New Roman"/>
          <w:b/>
          <w:sz w:val="24"/>
          <w:szCs w:val="24"/>
        </w:rPr>
        <w:t>-</w:t>
      </w:r>
      <w:r>
        <w:rPr>
          <w:rFonts w:hint="eastAsia" w:ascii="Times New Roman" w:hAnsi="Times New Roman"/>
          <w:b/>
          <w:sz w:val="24"/>
          <w:szCs w:val="24"/>
        </w:rPr>
        <w:t>07-25</w:t>
      </w:r>
    </w:p>
    <w:p>
      <w:pPr>
        <w:wordWrap w:val="0"/>
        <w:spacing w:line="360" w:lineRule="auto"/>
        <w:ind w:right="56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hint="eastAsia" w:ascii="Times New Roman"/>
          <w:b/>
          <w:sz w:val="28"/>
          <w:szCs w:val="28"/>
        </w:rPr>
      </w:pPr>
    </w:p>
    <w:p>
      <w:pPr>
        <w:wordWrap w:val="0"/>
        <w:spacing w:line="360" w:lineRule="auto"/>
        <w:ind w:right="560" w:firstLine="2249" w:firstLineChars="800"/>
        <w:rPr>
          <w:rFonts w:hint="eastAsia"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p>
    <w:p>
      <w:pPr>
        <w:wordWrap w:val="0"/>
        <w:spacing w:line="360" w:lineRule="auto"/>
        <w:ind w:right="560" w:firstLine="2249" w:firstLineChars="800"/>
        <w:rPr>
          <w:rFonts w:ascii="Times New Roman"/>
          <w:b/>
          <w:sz w:val="28"/>
          <w:szCs w:val="28"/>
        </w:rPr>
      </w:pPr>
      <w:r>
        <w:rPr>
          <w:rFonts w:hint="eastAsia" w:ascii="Times New Roman"/>
          <w:b/>
          <w:sz w:val="28"/>
          <w:szCs w:val="28"/>
        </w:rPr>
        <w:t>东莞市鑫禾转印材料有限公司建设项目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21BED"/>
    <w:rsid w:val="0004010E"/>
    <w:rsid w:val="00055BD4"/>
    <w:rsid w:val="00062676"/>
    <w:rsid w:val="00075508"/>
    <w:rsid w:val="00083725"/>
    <w:rsid w:val="000A2143"/>
    <w:rsid w:val="000A7452"/>
    <w:rsid w:val="000B2B08"/>
    <w:rsid w:val="000B5743"/>
    <w:rsid w:val="000D1C66"/>
    <w:rsid w:val="000D7E29"/>
    <w:rsid w:val="000E06A5"/>
    <w:rsid w:val="000E6425"/>
    <w:rsid w:val="000F6B0E"/>
    <w:rsid w:val="00113850"/>
    <w:rsid w:val="00113B7F"/>
    <w:rsid w:val="00114540"/>
    <w:rsid w:val="00124C78"/>
    <w:rsid w:val="00125716"/>
    <w:rsid w:val="001332BC"/>
    <w:rsid w:val="001333F4"/>
    <w:rsid w:val="001823C6"/>
    <w:rsid w:val="00186A11"/>
    <w:rsid w:val="00191D1D"/>
    <w:rsid w:val="00194D63"/>
    <w:rsid w:val="001A060B"/>
    <w:rsid w:val="001A61DF"/>
    <w:rsid w:val="001B1350"/>
    <w:rsid w:val="001C0EF1"/>
    <w:rsid w:val="001D1B5C"/>
    <w:rsid w:val="001D3A73"/>
    <w:rsid w:val="001D4C0C"/>
    <w:rsid w:val="001F5409"/>
    <w:rsid w:val="001F55FB"/>
    <w:rsid w:val="00205D09"/>
    <w:rsid w:val="002303BE"/>
    <w:rsid w:val="00236595"/>
    <w:rsid w:val="002423C0"/>
    <w:rsid w:val="00245F84"/>
    <w:rsid w:val="00252905"/>
    <w:rsid w:val="00273FB1"/>
    <w:rsid w:val="00282030"/>
    <w:rsid w:val="00282484"/>
    <w:rsid w:val="00292DD1"/>
    <w:rsid w:val="002C70E7"/>
    <w:rsid w:val="002D6DD9"/>
    <w:rsid w:val="002D7F94"/>
    <w:rsid w:val="002E13F7"/>
    <w:rsid w:val="002E201C"/>
    <w:rsid w:val="002F6CB9"/>
    <w:rsid w:val="00312846"/>
    <w:rsid w:val="00320690"/>
    <w:rsid w:val="00321173"/>
    <w:rsid w:val="0032655A"/>
    <w:rsid w:val="003321A4"/>
    <w:rsid w:val="00347EF0"/>
    <w:rsid w:val="00354D4B"/>
    <w:rsid w:val="00382558"/>
    <w:rsid w:val="00390B46"/>
    <w:rsid w:val="00392C17"/>
    <w:rsid w:val="003A48A7"/>
    <w:rsid w:val="003A7328"/>
    <w:rsid w:val="003B2F78"/>
    <w:rsid w:val="003B6946"/>
    <w:rsid w:val="003C7DF2"/>
    <w:rsid w:val="003D275A"/>
    <w:rsid w:val="003D46FC"/>
    <w:rsid w:val="003E07DB"/>
    <w:rsid w:val="004203F6"/>
    <w:rsid w:val="0042509B"/>
    <w:rsid w:val="0043007D"/>
    <w:rsid w:val="00431A36"/>
    <w:rsid w:val="0044159B"/>
    <w:rsid w:val="0044714E"/>
    <w:rsid w:val="00465BA9"/>
    <w:rsid w:val="0047439B"/>
    <w:rsid w:val="0048612E"/>
    <w:rsid w:val="00486F63"/>
    <w:rsid w:val="00494D53"/>
    <w:rsid w:val="004F042F"/>
    <w:rsid w:val="00515156"/>
    <w:rsid w:val="00515169"/>
    <w:rsid w:val="00527390"/>
    <w:rsid w:val="00541CEA"/>
    <w:rsid w:val="0055308C"/>
    <w:rsid w:val="005639D0"/>
    <w:rsid w:val="00564E0D"/>
    <w:rsid w:val="00574E8D"/>
    <w:rsid w:val="00575D9A"/>
    <w:rsid w:val="00591C2A"/>
    <w:rsid w:val="00594BA1"/>
    <w:rsid w:val="0059632F"/>
    <w:rsid w:val="005B0DDB"/>
    <w:rsid w:val="005D7439"/>
    <w:rsid w:val="005E6E40"/>
    <w:rsid w:val="005F0D70"/>
    <w:rsid w:val="005F563E"/>
    <w:rsid w:val="00613827"/>
    <w:rsid w:val="00636A2D"/>
    <w:rsid w:val="00670C78"/>
    <w:rsid w:val="006B66D5"/>
    <w:rsid w:val="006D0648"/>
    <w:rsid w:val="006F6F1F"/>
    <w:rsid w:val="00735E91"/>
    <w:rsid w:val="00751DD0"/>
    <w:rsid w:val="007532E5"/>
    <w:rsid w:val="00762358"/>
    <w:rsid w:val="00783601"/>
    <w:rsid w:val="00791F93"/>
    <w:rsid w:val="007975E7"/>
    <w:rsid w:val="007A7D30"/>
    <w:rsid w:val="007B0687"/>
    <w:rsid w:val="007D3E7B"/>
    <w:rsid w:val="007E1B0C"/>
    <w:rsid w:val="007F23A6"/>
    <w:rsid w:val="00827131"/>
    <w:rsid w:val="00843776"/>
    <w:rsid w:val="00846B7F"/>
    <w:rsid w:val="008604A8"/>
    <w:rsid w:val="00863F8B"/>
    <w:rsid w:val="008663CA"/>
    <w:rsid w:val="00867E52"/>
    <w:rsid w:val="00871ED3"/>
    <w:rsid w:val="00892AD3"/>
    <w:rsid w:val="00897955"/>
    <w:rsid w:val="008B2735"/>
    <w:rsid w:val="008E165A"/>
    <w:rsid w:val="008F15EB"/>
    <w:rsid w:val="009300EB"/>
    <w:rsid w:val="00945CA3"/>
    <w:rsid w:val="0098079B"/>
    <w:rsid w:val="00983819"/>
    <w:rsid w:val="009D2E72"/>
    <w:rsid w:val="009D3A78"/>
    <w:rsid w:val="009D532A"/>
    <w:rsid w:val="009D74AB"/>
    <w:rsid w:val="009E2701"/>
    <w:rsid w:val="00A003B6"/>
    <w:rsid w:val="00A10A9E"/>
    <w:rsid w:val="00A21C33"/>
    <w:rsid w:val="00A25358"/>
    <w:rsid w:val="00A32C09"/>
    <w:rsid w:val="00A34F37"/>
    <w:rsid w:val="00A367FF"/>
    <w:rsid w:val="00A540C1"/>
    <w:rsid w:val="00A73925"/>
    <w:rsid w:val="00A83B39"/>
    <w:rsid w:val="00A873FF"/>
    <w:rsid w:val="00A9181F"/>
    <w:rsid w:val="00AB46C2"/>
    <w:rsid w:val="00AC5163"/>
    <w:rsid w:val="00AD4648"/>
    <w:rsid w:val="00AD7DA6"/>
    <w:rsid w:val="00AE3ED8"/>
    <w:rsid w:val="00AF5B0A"/>
    <w:rsid w:val="00B0247A"/>
    <w:rsid w:val="00B175FA"/>
    <w:rsid w:val="00B3382A"/>
    <w:rsid w:val="00B44B83"/>
    <w:rsid w:val="00B47596"/>
    <w:rsid w:val="00B51940"/>
    <w:rsid w:val="00B62427"/>
    <w:rsid w:val="00B937D6"/>
    <w:rsid w:val="00BA6426"/>
    <w:rsid w:val="00BA6B50"/>
    <w:rsid w:val="00BC2464"/>
    <w:rsid w:val="00BC4924"/>
    <w:rsid w:val="00BD332F"/>
    <w:rsid w:val="00BF2244"/>
    <w:rsid w:val="00BF6937"/>
    <w:rsid w:val="00C03AA1"/>
    <w:rsid w:val="00C065F9"/>
    <w:rsid w:val="00C21863"/>
    <w:rsid w:val="00C43148"/>
    <w:rsid w:val="00C531CE"/>
    <w:rsid w:val="00C71F7C"/>
    <w:rsid w:val="00C72520"/>
    <w:rsid w:val="00C73DA4"/>
    <w:rsid w:val="00C75C89"/>
    <w:rsid w:val="00C92EDB"/>
    <w:rsid w:val="00CA2DCD"/>
    <w:rsid w:val="00CB6C16"/>
    <w:rsid w:val="00CD081C"/>
    <w:rsid w:val="00CF0321"/>
    <w:rsid w:val="00CF10FA"/>
    <w:rsid w:val="00D0218D"/>
    <w:rsid w:val="00D02302"/>
    <w:rsid w:val="00D04EE9"/>
    <w:rsid w:val="00D069E1"/>
    <w:rsid w:val="00D24394"/>
    <w:rsid w:val="00D25B6B"/>
    <w:rsid w:val="00D437D9"/>
    <w:rsid w:val="00D43AD9"/>
    <w:rsid w:val="00D50A3E"/>
    <w:rsid w:val="00D572DE"/>
    <w:rsid w:val="00D77E29"/>
    <w:rsid w:val="00D80727"/>
    <w:rsid w:val="00DA3A3E"/>
    <w:rsid w:val="00DC7123"/>
    <w:rsid w:val="00DF0A4D"/>
    <w:rsid w:val="00E14909"/>
    <w:rsid w:val="00E434E7"/>
    <w:rsid w:val="00E62D8F"/>
    <w:rsid w:val="00E64D6A"/>
    <w:rsid w:val="00E75919"/>
    <w:rsid w:val="00E80B01"/>
    <w:rsid w:val="00E946AC"/>
    <w:rsid w:val="00EA1460"/>
    <w:rsid w:val="00EA6291"/>
    <w:rsid w:val="00EB29F9"/>
    <w:rsid w:val="00EC7934"/>
    <w:rsid w:val="00EE6203"/>
    <w:rsid w:val="00EF1035"/>
    <w:rsid w:val="00EF2334"/>
    <w:rsid w:val="00F02CD2"/>
    <w:rsid w:val="00F0697B"/>
    <w:rsid w:val="00F55E09"/>
    <w:rsid w:val="00F60478"/>
    <w:rsid w:val="00F77051"/>
    <w:rsid w:val="00F86066"/>
    <w:rsid w:val="00F91133"/>
    <w:rsid w:val="00FA01D3"/>
    <w:rsid w:val="00FA7433"/>
    <w:rsid w:val="00FB5118"/>
    <w:rsid w:val="00FC189C"/>
    <w:rsid w:val="00FE4171"/>
    <w:rsid w:val="00FF6B96"/>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8426B11"/>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批注文字 Char"/>
    <w:basedOn w:val="10"/>
    <w:link w:val="3"/>
    <w:semiHidden/>
    <w:qFormat/>
    <w:locked/>
    <w:uiPriority w:val="99"/>
    <w:rPr>
      <w:rFonts w:cs="Times New Roman"/>
    </w:rPr>
  </w:style>
  <w:style w:type="character" w:customStyle="1" w:styleId="14">
    <w:name w:val="批注主题 Char"/>
    <w:basedOn w:val="13"/>
    <w:link w:val="7"/>
    <w:semiHidden/>
    <w:qFormat/>
    <w:locked/>
    <w:uiPriority w:val="99"/>
    <w:rPr>
      <w:b/>
      <w:bCs/>
    </w:rPr>
  </w:style>
  <w:style w:type="character" w:customStyle="1" w:styleId="15">
    <w:name w:val="文档结构图 Char"/>
    <w:basedOn w:val="10"/>
    <w:link w:val="2"/>
    <w:semiHidden/>
    <w:qFormat/>
    <w:locked/>
    <w:uiPriority w:val="99"/>
    <w:rPr>
      <w:rFonts w:ascii="宋体" w:eastAsia="宋体" w:cs="Times New Roman"/>
      <w:sz w:val="18"/>
      <w:szCs w:val="18"/>
    </w:rPr>
  </w:style>
  <w:style w:type="character" w:customStyle="1" w:styleId="16">
    <w:name w:val="批注框文本 Char"/>
    <w:basedOn w:val="10"/>
    <w:link w:val="4"/>
    <w:semiHidden/>
    <w:qFormat/>
    <w:locked/>
    <w:uiPriority w:val="99"/>
    <w:rPr>
      <w:rFonts w:cs="Times New Roman"/>
      <w:sz w:val="2"/>
    </w:rPr>
  </w:style>
  <w:style w:type="character" w:customStyle="1" w:styleId="17">
    <w:name w:val="页脚 Char"/>
    <w:basedOn w:val="10"/>
    <w:link w:val="5"/>
    <w:semiHidden/>
    <w:qFormat/>
    <w:locked/>
    <w:uiPriority w:val="99"/>
    <w:rPr>
      <w:rFonts w:cs="Times New Roman"/>
      <w:sz w:val="18"/>
      <w:szCs w:val="18"/>
    </w:rPr>
  </w:style>
  <w:style w:type="character" w:customStyle="1" w:styleId="18">
    <w:name w:val="页眉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 w:type="character" w:customStyle="1" w:styleId="20">
    <w:name w:val="明显强调1"/>
    <w:basedOn w:val="10"/>
    <w:qFormat/>
    <w:uiPriority w:val="21"/>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3A64E-5FD5-4DC7-A0DE-97FDD230700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418</Words>
  <Characters>2384</Characters>
  <Lines>19</Lines>
  <Paragraphs>5</Paragraphs>
  <TotalTime>2743</TotalTime>
  <ScaleCrop>false</ScaleCrop>
  <LinksUpToDate>false</LinksUpToDate>
  <CharactersWithSpaces>2797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2019-07-02T06:10:00Z</cp:lastPrinted>
  <dcterms:modified xsi:type="dcterms:W3CDTF">2019-07-26T08:52:00Z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