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浩利塑胶五金制品</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08</w:t>
      </w:r>
      <w:r>
        <w:rPr>
          <w:rFonts w:hint="eastAsia" w:ascii="Times New Roman"/>
          <w:sz w:val="24"/>
          <w:szCs w:val="24"/>
        </w:rPr>
        <w:t>月</w:t>
      </w:r>
      <w:r>
        <w:rPr>
          <w:rFonts w:hint="eastAsia" w:ascii="Times New Roman"/>
          <w:sz w:val="24"/>
          <w:szCs w:val="24"/>
          <w:lang w:val="en-US" w:eastAsia="zh-CN"/>
        </w:rPr>
        <w:t>13</w:t>
      </w:r>
      <w:r>
        <w:rPr>
          <w:rFonts w:hint="eastAsia" w:ascii="Times New Roman"/>
          <w:sz w:val="24"/>
          <w:szCs w:val="24"/>
        </w:rPr>
        <w:t>日东莞市</w:t>
      </w:r>
      <w:r>
        <w:rPr>
          <w:rFonts w:hint="eastAsia" w:ascii="Times New Roman"/>
          <w:sz w:val="24"/>
          <w:szCs w:val="24"/>
          <w:lang w:eastAsia="zh-CN"/>
        </w:rPr>
        <w:t>浩利塑胶五金制品</w:t>
      </w:r>
      <w:r>
        <w:rPr>
          <w:rFonts w:hint="eastAsia" w:ascii="Times New Roman"/>
          <w:sz w:val="24"/>
          <w:szCs w:val="24"/>
        </w:rPr>
        <w:t>有限公司根据东莞市</w:t>
      </w:r>
      <w:r>
        <w:rPr>
          <w:rFonts w:hint="eastAsia" w:ascii="Times New Roman"/>
          <w:sz w:val="24"/>
          <w:szCs w:val="24"/>
          <w:lang w:eastAsia="zh-CN"/>
        </w:rPr>
        <w:t>浩利塑胶五金制品</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w:t>
      </w:r>
      <w:r>
        <w:rPr>
          <w:rFonts w:hint="eastAsia" w:ascii="Times New Roman"/>
          <w:sz w:val="24"/>
          <w:szCs w:val="24"/>
          <w:lang w:eastAsia="zh-CN"/>
        </w:rPr>
        <w:t>一期</w:t>
      </w:r>
      <w:r>
        <w:rPr>
          <w:rFonts w:hint="eastAsia" w:ascii="Times New Roman"/>
          <w:sz w:val="24"/>
          <w:szCs w:val="24"/>
        </w:rPr>
        <w:t>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浩利塑胶五金制品</w:t>
      </w:r>
      <w:r>
        <w:rPr>
          <w:rFonts w:hint="eastAsia" w:cs="Times New Roman"/>
        </w:rPr>
        <w:t>有限公司位于</w:t>
      </w:r>
      <w:r>
        <w:rPr>
          <w:rFonts w:hint="eastAsia" w:cs="Times New Roman"/>
          <w:color w:val="000000"/>
        </w:rPr>
        <w:t>东莞市</w:t>
      </w:r>
      <w:r>
        <w:rPr>
          <w:rFonts w:hint="eastAsia" w:cs="Times New Roman"/>
          <w:color w:val="000000"/>
          <w:lang w:eastAsia="zh-CN"/>
        </w:rPr>
        <w:t>虎门镇沙角社区台城路</w:t>
      </w:r>
      <w:r>
        <w:rPr>
          <w:rFonts w:hint="eastAsia" w:cs="Times New Roman"/>
          <w:color w:val="000000"/>
          <w:lang w:val="en-US" w:eastAsia="zh-CN"/>
        </w:rPr>
        <w:t>8号A栋三楼和四楼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45</w:t>
      </w:r>
      <w:r>
        <w:rPr>
          <w:rFonts w:cs="Times New Roman"/>
          <w:bCs/>
          <w:color w:val="000000"/>
        </w:rPr>
        <w:t>′</w:t>
      </w:r>
      <w:r>
        <w:rPr>
          <w:rFonts w:hint="eastAsia" w:cs="Times New Roman"/>
          <w:bCs/>
          <w:color w:val="000000"/>
          <w:lang w:val="en-US" w:eastAsia="zh-CN"/>
        </w:rPr>
        <w:t>42.47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40</w:t>
      </w:r>
      <w:r>
        <w:rPr>
          <w:rFonts w:cs="Times New Roman"/>
          <w:bCs/>
          <w:color w:val="000000"/>
        </w:rPr>
        <w:t>′</w:t>
      </w:r>
      <w:r>
        <w:rPr>
          <w:rFonts w:hint="eastAsia" w:cs="Times New Roman"/>
          <w:bCs/>
          <w:color w:val="000000"/>
          <w:lang w:val="en-US" w:eastAsia="zh-CN"/>
        </w:rPr>
        <w:t>26.52</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2671</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5342</w:t>
      </w:r>
      <w:r>
        <w:rPr>
          <w:rFonts w:cs="Times New Roman"/>
        </w:rPr>
        <w:t>m</w:t>
      </w:r>
      <w:r>
        <w:rPr>
          <w:rFonts w:cs="Times New Roman"/>
          <w:vertAlign w:val="superscript"/>
        </w:rPr>
        <w:t>2</w:t>
      </w:r>
      <w:r>
        <w:rPr>
          <w:rFonts w:hint="eastAsia" w:cs="Times New Roman"/>
        </w:rPr>
        <w:t>，总投资</w:t>
      </w:r>
      <w:r>
        <w:rPr>
          <w:rFonts w:cs="Times New Roman"/>
        </w:rPr>
        <w:t>100</w:t>
      </w:r>
      <w:r>
        <w:rPr>
          <w:rFonts w:hint="eastAsia" w:cs="Times New Roman"/>
        </w:rPr>
        <w:t>万元，设有员工</w:t>
      </w:r>
      <w:r>
        <w:rPr>
          <w:rFonts w:hint="eastAsia" w:cs="Times New Roman"/>
          <w:lang w:val="en-US" w:eastAsia="zh-CN"/>
        </w:rPr>
        <w:t>60</w:t>
      </w:r>
      <w:r>
        <w:rPr>
          <w:rFonts w:hint="eastAsia" w:cs="Times New Roman"/>
        </w:rPr>
        <w:t>人，主要从事</w:t>
      </w:r>
      <w:r>
        <w:rPr>
          <w:rFonts w:hint="eastAsia" w:cs="Times New Roman"/>
          <w:lang w:eastAsia="zh-CN"/>
        </w:rPr>
        <w:t>收集塑胶外壳、吸尘器塑胶外壳、电脑面板配件外壳、小家电塑胶外壳</w:t>
      </w:r>
      <w:r>
        <w:rPr>
          <w:rFonts w:hint="eastAsia" w:cs="Times New Roman"/>
        </w:rPr>
        <w:t>，年</w:t>
      </w:r>
      <w:r>
        <w:rPr>
          <w:rFonts w:hint="eastAsia" w:cs="Times New Roman"/>
          <w:lang w:eastAsia="zh-CN"/>
        </w:rPr>
        <w:t>加工生产手机塑胶外壳</w:t>
      </w:r>
      <w:r>
        <w:rPr>
          <w:rFonts w:hint="eastAsia" w:cs="Times New Roman"/>
          <w:lang w:val="en-US" w:eastAsia="zh-CN"/>
        </w:rPr>
        <w:t>25万件、吸尘器塑胶外壳20万件、电脑面板配件外壳45万件、小家电塑胶外壳10万件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浩利塑胶五金制品</w:t>
      </w:r>
      <w:r>
        <w:rPr>
          <w:rFonts w:hint="eastAsia" w:cs="Times New Roman"/>
          <w:color w:val="000000"/>
        </w:rPr>
        <w:t>有限公司于</w:t>
      </w:r>
      <w:r>
        <w:rPr>
          <w:rFonts w:cs="Times New Roman"/>
          <w:color w:val="000000"/>
        </w:rPr>
        <w:t>201</w:t>
      </w:r>
      <w:r>
        <w:rPr>
          <w:rFonts w:hint="eastAsia" w:cs="Times New Roman"/>
          <w:color w:val="000000"/>
          <w:lang w:val="en-US" w:eastAsia="zh-CN"/>
        </w:rPr>
        <w:t>7</w:t>
      </w:r>
      <w:r>
        <w:rPr>
          <w:rFonts w:hint="eastAsia" w:cs="Times New Roman"/>
          <w:color w:val="000000"/>
        </w:rPr>
        <w:t>年</w:t>
      </w:r>
      <w:r>
        <w:rPr>
          <w:rFonts w:hint="eastAsia" w:cs="Times New Roman"/>
          <w:color w:val="000000"/>
          <w:lang w:val="en-US" w:eastAsia="zh-CN"/>
        </w:rPr>
        <w:t>10</w:t>
      </w:r>
      <w:r>
        <w:rPr>
          <w:rFonts w:hint="eastAsia" w:cs="Times New Roman"/>
          <w:color w:val="000000"/>
        </w:rPr>
        <w:t>月委托</w:t>
      </w:r>
      <w:r>
        <w:rPr>
          <w:rFonts w:hint="eastAsia" w:hAnsi="宋体" w:cs="Times New Roman"/>
          <w:bCs/>
          <w:color w:val="000000"/>
        </w:rPr>
        <w:t>深圳市宗兴环保科技有限公司</w:t>
      </w:r>
      <w:r>
        <w:rPr>
          <w:rFonts w:hint="eastAsia" w:cs="Times New Roman"/>
          <w:color w:val="000000"/>
        </w:rPr>
        <w:t>编制了《东莞市</w:t>
      </w:r>
      <w:r>
        <w:rPr>
          <w:rFonts w:hint="eastAsia" w:cs="Times New Roman"/>
          <w:color w:val="000000"/>
          <w:lang w:eastAsia="zh-CN"/>
        </w:rPr>
        <w:t>浩利塑胶五金制品</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7</w:t>
      </w:r>
      <w:r>
        <w:rPr>
          <w:rFonts w:hint="eastAsia" w:cs="Times New Roman"/>
          <w:color w:val="000000"/>
        </w:rPr>
        <w:t>〕</w:t>
      </w:r>
      <w:r>
        <w:rPr>
          <w:rFonts w:hint="eastAsia" w:cs="Times New Roman"/>
          <w:color w:val="000000"/>
          <w:lang w:val="en-US" w:eastAsia="zh-CN"/>
        </w:rPr>
        <w:t>11717</w:t>
      </w:r>
      <w:r>
        <w:rPr>
          <w:rFonts w:hint="eastAsia" w:cs="Times New Roman"/>
          <w:color w:val="000000"/>
        </w:rPr>
        <w:t>号。</w:t>
      </w:r>
    </w:p>
    <w:p>
      <w:pPr>
        <w:spacing w:line="360" w:lineRule="auto"/>
        <w:ind w:left="479" w:leftChars="228" w:firstLine="0" w:firstLineChars="0"/>
        <w:outlineLvl w:val="0"/>
        <w:rPr>
          <w:rFonts w:hint="eastAsia" w:ascii="Times New Roman"/>
          <w:sz w:val="24"/>
          <w:szCs w:val="24"/>
        </w:rPr>
      </w:pPr>
      <w:r>
        <w:rPr>
          <w:rFonts w:hint="eastAsia" w:ascii="Times New Roman"/>
          <w:sz w:val="24"/>
          <w:lang w:eastAsia="zh-CN"/>
        </w:rPr>
        <w:t>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8</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7</w:t>
      </w:r>
      <w:r>
        <w:rPr>
          <w:rFonts w:hint="eastAsia" w:ascii="Times New Roman"/>
          <w:sz w:val="24"/>
        </w:rPr>
        <w:t>月建设完成，设备安装完毕</w:t>
      </w:r>
      <w:r>
        <w:rPr>
          <w:rFonts w:hint="eastAsia" w:ascii="Times New Roman"/>
          <w:sz w:val="24"/>
          <w:szCs w:val="24"/>
        </w:rPr>
        <w:t>。</w:t>
      </w:r>
    </w:p>
    <w:p>
      <w:pPr>
        <w:spacing w:line="360" w:lineRule="auto"/>
        <w:ind w:left="479" w:leftChars="228" w:firstLine="0" w:firstLineChars="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ascii="Times New Roman" w:hAnsi="Times New Roman"/>
          <w:sz w:val="24"/>
        </w:rPr>
        <w:t>100</w:t>
      </w:r>
      <w:r>
        <w:rPr>
          <w:rFonts w:hint="eastAsia" w:ascii="Times New Roman"/>
          <w:sz w:val="24"/>
        </w:rPr>
        <w:t>万元，其中环保投资为</w:t>
      </w:r>
      <w:r>
        <w:rPr>
          <w:rFonts w:hint="eastAsia" w:ascii="Times New Roman"/>
          <w:sz w:val="24"/>
          <w:lang w:val="en-US" w:eastAsia="zh-CN"/>
        </w:rPr>
        <w:t>1</w:t>
      </w:r>
      <w:r>
        <w:rPr>
          <w:rFonts w:hint="eastAsia" w:ascii="Times New Roman" w:hAnsi="Times New Roman"/>
          <w:sz w:val="24"/>
          <w:lang w:val="en-US" w:eastAsia="zh-CN"/>
        </w:rPr>
        <w:t>6</w:t>
      </w:r>
      <w:r>
        <w:rPr>
          <w:rFonts w:hint="eastAsia" w:ascii="Times New Roman"/>
          <w:sz w:val="24"/>
        </w:rPr>
        <w:t>万元，占总投资的</w:t>
      </w:r>
      <w:r>
        <w:rPr>
          <w:rFonts w:hint="eastAsia" w:ascii="Times New Roman" w:hAnsi="Times New Roman"/>
          <w:sz w:val="24"/>
          <w:lang w:val="en-US" w:eastAsia="zh-CN"/>
        </w:rPr>
        <w:t>16</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w:t>
      </w:r>
      <w:r>
        <w:rPr>
          <w:rFonts w:hint="eastAsia" w:ascii="Times New Roman"/>
          <w:sz w:val="24"/>
          <w:szCs w:val="24"/>
          <w:lang w:eastAsia="zh-CN"/>
        </w:rPr>
        <w:t>一期</w:t>
      </w:r>
      <w:r>
        <w:rPr>
          <w:rFonts w:hint="eastAsia" w:ascii="Times New Roman"/>
          <w:sz w:val="24"/>
          <w:szCs w:val="24"/>
        </w:rPr>
        <w:t>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adjustRightInd w:val="0"/>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现有一期项目设备详情（附表）</w:t>
      </w:r>
    </w:p>
    <w:tbl>
      <w:tblPr>
        <w:tblStyle w:val="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752"/>
        <w:gridCol w:w="1815"/>
        <w:gridCol w:w="1185"/>
        <w:gridCol w:w="1755"/>
        <w:gridCol w:w="1462"/>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787"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序号</w:t>
            </w:r>
          </w:p>
        </w:tc>
        <w:tc>
          <w:tcPr>
            <w:tcW w:w="2567" w:type="dxa"/>
            <w:gridSpan w:val="2"/>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设备名称</w:t>
            </w:r>
          </w:p>
        </w:tc>
        <w:tc>
          <w:tcPr>
            <w:tcW w:w="1185"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环评数量</w:t>
            </w:r>
          </w:p>
        </w:tc>
        <w:tc>
          <w:tcPr>
            <w:tcW w:w="1755"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一期验收数量</w:t>
            </w:r>
          </w:p>
        </w:tc>
        <w:tc>
          <w:tcPr>
            <w:tcW w:w="1462"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未投产设备</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w:t>
            </w:r>
          </w:p>
        </w:tc>
        <w:tc>
          <w:tcPr>
            <w:tcW w:w="2567"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往复机喷漆柜</w:t>
            </w:r>
          </w:p>
        </w:tc>
        <w:tc>
          <w:tcPr>
            <w:tcW w:w="118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75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6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restart"/>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w:t>
            </w:r>
          </w:p>
        </w:tc>
        <w:tc>
          <w:tcPr>
            <w:tcW w:w="2567" w:type="dxa"/>
            <w:gridSpan w:val="2"/>
            <w:vMerge w:val="restart"/>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手动喷漆柜</w:t>
            </w:r>
          </w:p>
        </w:tc>
        <w:tc>
          <w:tcPr>
            <w:tcW w:w="118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75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6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center"/>
          </w:tcPr>
          <w:p>
            <w:pPr>
              <w:adjustRightInd w:val="0"/>
              <w:spacing w:line="360" w:lineRule="auto"/>
              <w:jc w:val="center"/>
              <w:rPr>
                <w:rFonts w:hint="eastAsia" w:ascii="Times New Roman"/>
                <w:sz w:val="24"/>
                <w:szCs w:val="24"/>
                <w:vertAlign w:val="baseline"/>
                <w:lang w:val="en-US" w:eastAsia="zh-CN"/>
              </w:rPr>
            </w:pPr>
          </w:p>
        </w:tc>
        <w:tc>
          <w:tcPr>
            <w:tcW w:w="2567" w:type="dxa"/>
            <w:gridSpan w:val="2"/>
            <w:vMerge w:val="continue"/>
            <w:vAlign w:val="center"/>
          </w:tcPr>
          <w:p>
            <w:pPr>
              <w:adjustRightInd w:val="0"/>
              <w:spacing w:line="360" w:lineRule="auto"/>
              <w:jc w:val="center"/>
              <w:rPr>
                <w:rFonts w:hint="eastAsia" w:ascii="Times New Roman"/>
                <w:sz w:val="24"/>
                <w:szCs w:val="24"/>
                <w:vertAlign w:val="baseline"/>
                <w:lang w:val="en-US" w:eastAsia="zh-CN"/>
              </w:rPr>
            </w:pPr>
          </w:p>
        </w:tc>
        <w:tc>
          <w:tcPr>
            <w:tcW w:w="118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75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46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2567"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手动除尘柜</w:t>
            </w:r>
          </w:p>
        </w:tc>
        <w:tc>
          <w:tcPr>
            <w:tcW w:w="118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75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46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2567"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隧道式烤炉</w:t>
            </w:r>
          </w:p>
        </w:tc>
        <w:tc>
          <w:tcPr>
            <w:tcW w:w="118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75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6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2567" w:type="dxa"/>
            <w:gridSpan w:val="2"/>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UV固化炉</w:t>
            </w:r>
          </w:p>
        </w:tc>
        <w:tc>
          <w:tcPr>
            <w:tcW w:w="118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5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6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restart"/>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w:t>
            </w:r>
          </w:p>
        </w:tc>
        <w:tc>
          <w:tcPr>
            <w:tcW w:w="2567"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自动喷涂线</w:t>
            </w:r>
          </w:p>
        </w:tc>
        <w:tc>
          <w:tcPr>
            <w:tcW w:w="118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75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46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center"/>
          </w:tcPr>
          <w:p>
            <w:pPr>
              <w:adjustRightInd w:val="0"/>
              <w:spacing w:line="360" w:lineRule="auto"/>
              <w:jc w:val="center"/>
              <w:rPr>
                <w:rFonts w:hint="default" w:ascii="Times New Roman"/>
                <w:sz w:val="24"/>
                <w:szCs w:val="24"/>
                <w:vertAlign w:val="baseline"/>
                <w:lang w:val="en-US" w:eastAsia="zh-CN"/>
              </w:rPr>
            </w:pPr>
          </w:p>
        </w:tc>
        <w:tc>
          <w:tcPr>
            <w:tcW w:w="752" w:type="dxa"/>
            <w:vMerge w:val="restart"/>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配套</w:t>
            </w:r>
          </w:p>
        </w:tc>
        <w:tc>
          <w:tcPr>
            <w:tcW w:w="181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水帘柜</w:t>
            </w:r>
          </w:p>
        </w:tc>
        <w:tc>
          <w:tcPr>
            <w:tcW w:w="1185"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75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6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center"/>
          </w:tcPr>
          <w:p>
            <w:pPr>
              <w:adjustRightInd w:val="0"/>
              <w:spacing w:line="360" w:lineRule="auto"/>
              <w:jc w:val="center"/>
              <w:rPr>
                <w:rFonts w:hint="default" w:ascii="Times New Roman"/>
                <w:sz w:val="24"/>
                <w:szCs w:val="24"/>
                <w:vertAlign w:val="baseline"/>
                <w:lang w:val="en-US" w:eastAsia="zh-CN"/>
              </w:rPr>
            </w:pPr>
          </w:p>
        </w:tc>
        <w:tc>
          <w:tcPr>
            <w:tcW w:w="752" w:type="dxa"/>
            <w:vMerge w:val="continue"/>
            <w:vAlign w:val="center"/>
          </w:tcPr>
          <w:p>
            <w:pPr>
              <w:adjustRightInd w:val="0"/>
              <w:spacing w:line="360" w:lineRule="auto"/>
              <w:jc w:val="center"/>
              <w:rPr>
                <w:rFonts w:hint="eastAsia" w:ascii="Times New Roman"/>
                <w:sz w:val="24"/>
                <w:szCs w:val="24"/>
                <w:vertAlign w:val="baseline"/>
                <w:lang w:val="en-US" w:eastAsia="zh-CN"/>
              </w:rPr>
            </w:pPr>
          </w:p>
        </w:tc>
        <w:tc>
          <w:tcPr>
            <w:tcW w:w="181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自动除尘柜</w:t>
            </w:r>
          </w:p>
        </w:tc>
        <w:tc>
          <w:tcPr>
            <w:tcW w:w="1185"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75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6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Merge w:val="continue"/>
            <w:vAlign w:val="center"/>
          </w:tcPr>
          <w:p>
            <w:pPr>
              <w:adjustRightInd w:val="0"/>
              <w:spacing w:line="360" w:lineRule="auto"/>
              <w:jc w:val="center"/>
              <w:rPr>
                <w:rFonts w:hint="default" w:ascii="Times New Roman"/>
                <w:sz w:val="24"/>
                <w:szCs w:val="24"/>
                <w:vertAlign w:val="baseline"/>
                <w:lang w:val="en-US" w:eastAsia="zh-CN"/>
              </w:rPr>
            </w:pPr>
          </w:p>
        </w:tc>
        <w:tc>
          <w:tcPr>
            <w:tcW w:w="752" w:type="dxa"/>
            <w:vMerge w:val="continue"/>
            <w:vAlign w:val="center"/>
          </w:tcPr>
          <w:p>
            <w:pPr>
              <w:adjustRightInd w:val="0"/>
              <w:spacing w:line="360" w:lineRule="auto"/>
              <w:jc w:val="center"/>
              <w:rPr>
                <w:rFonts w:hint="eastAsia" w:ascii="Times New Roman"/>
                <w:sz w:val="24"/>
                <w:szCs w:val="24"/>
                <w:vertAlign w:val="baseline"/>
                <w:lang w:val="en-US" w:eastAsia="zh-CN"/>
              </w:rPr>
            </w:pPr>
          </w:p>
        </w:tc>
        <w:tc>
          <w:tcPr>
            <w:tcW w:w="181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隧道式烤炉</w:t>
            </w:r>
          </w:p>
        </w:tc>
        <w:tc>
          <w:tcPr>
            <w:tcW w:w="1185"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2条</w:t>
            </w:r>
          </w:p>
        </w:tc>
        <w:tc>
          <w:tcPr>
            <w:tcW w:w="175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2条</w:t>
            </w:r>
          </w:p>
        </w:tc>
        <w:tc>
          <w:tcPr>
            <w:tcW w:w="146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w:t>
            </w:r>
          </w:p>
        </w:tc>
        <w:tc>
          <w:tcPr>
            <w:tcW w:w="2567"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烤箱</w:t>
            </w:r>
          </w:p>
        </w:tc>
        <w:tc>
          <w:tcPr>
            <w:tcW w:w="1185"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75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46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2567"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丝印机</w:t>
            </w:r>
          </w:p>
        </w:tc>
        <w:tc>
          <w:tcPr>
            <w:tcW w:w="1185"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75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6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2567"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移印机</w:t>
            </w:r>
          </w:p>
        </w:tc>
        <w:tc>
          <w:tcPr>
            <w:tcW w:w="1185"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75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46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2567"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烘烤线</w:t>
            </w:r>
          </w:p>
        </w:tc>
        <w:tc>
          <w:tcPr>
            <w:tcW w:w="1185"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75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46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2567"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烫金机</w:t>
            </w:r>
          </w:p>
        </w:tc>
        <w:tc>
          <w:tcPr>
            <w:tcW w:w="1185"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5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62"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2567"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精雕机</w:t>
            </w:r>
          </w:p>
        </w:tc>
        <w:tc>
          <w:tcPr>
            <w:tcW w:w="1185"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75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462"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2567"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镭雕机</w:t>
            </w:r>
          </w:p>
        </w:tc>
        <w:tc>
          <w:tcPr>
            <w:tcW w:w="1185"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75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462"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14</w:t>
            </w:r>
          </w:p>
        </w:tc>
        <w:tc>
          <w:tcPr>
            <w:tcW w:w="2567"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空压机</w:t>
            </w:r>
          </w:p>
        </w:tc>
        <w:tc>
          <w:tcPr>
            <w:tcW w:w="1185"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75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62"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763" w:type="dxa"/>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bl>
    <w:p>
      <w:pPr>
        <w:spacing w:line="360" w:lineRule="auto"/>
        <w:rPr>
          <w:rFonts w:hint="eastAsia" w:ascii="Times New Roman"/>
          <w:sz w:val="24"/>
          <w:szCs w:val="24"/>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不排放生产性废水。水帘柜废水（60.05m3 /a）</w:t>
      </w:r>
      <w:r>
        <w:rPr>
          <w:rFonts w:hint="eastAsia" w:ascii="宋体" w:hAnsi="宋体" w:cs="宋体"/>
          <w:sz w:val="24"/>
          <w:szCs w:val="24"/>
          <w:lang w:eastAsia="zh-CN"/>
        </w:rPr>
        <w:t>经固定的废水桶</w:t>
      </w:r>
      <w:r>
        <w:rPr>
          <w:rFonts w:ascii="宋体" w:hAnsi="宋体" w:eastAsia="宋体" w:cs="宋体"/>
          <w:sz w:val="24"/>
          <w:szCs w:val="24"/>
        </w:rPr>
        <w:t>收集设 施收集后交给有资质的零星废水公司回收处理；</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生活污水经三级化粪池预处理后达到广东省 《水污染物排放限值》 （DB44/26-2001）第二时段三级标准后排入市政截污管网，引至东莞市虎门宁洲污水处理厂处理。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喷漆、丝印/移印、烘烤工序设置在密闭车间内， 水性或低排放 VOCs 含量的涂料使用比例不低于50%，VOCs 收集率应大于90%</w:t>
      </w:r>
      <w:r>
        <w:rPr>
          <w:rFonts w:hint="eastAsia" w:ascii="宋体" w:hAnsi="宋体" w:cs="宋体"/>
          <w:sz w:val="24"/>
          <w:szCs w:val="24"/>
          <w:lang w:eastAsia="zh-CN"/>
        </w:rPr>
        <w:t>，</w:t>
      </w:r>
      <w:r>
        <w:rPr>
          <w:rFonts w:ascii="宋体" w:hAnsi="宋体" w:eastAsia="宋体" w:cs="宋体"/>
          <w:sz w:val="24"/>
          <w:szCs w:val="24"/>
        </w:rPr>
        <w:t>产生的有机废气经</w:t>
      </w:r>
      <w:r>
        <w:rPr>
          <w:rFonts w:hint="eastAsia" w:ascii="宋体" w:hAnsi="宋体" w:cs="宋体"/>
          <w:sz w:val="24"/>
          <w:szCs w:val="24"/>
          <w:lang w:eastAsia="zh-CN"/>
        </w:rPr>
        <w:t>收集后引至“</w:t>
      </w:r>
      <w:r>
        <w:rPr>
          <w:rFonts w:hint="eastAsia" w:ascii="宋体" w:hAnsi="宋体" w:cs="宋体"/>
          <w:sz w:val="24"/>
          <w:szCs w:val="24"/>
          <w:lang w:val="en-US" w:eastAsia="zh-CN"/>
        </w:rPr>
        <w:t>UV光解+活性炭吸附装置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 （DB44/814-2010）第 II 时段排气筒 VOCS 排放限值要求；精雕/镭雕工序产生的废气经收集后高空排放，废气排放执行广东省《大气污染物排放限值》（DB44/27－2001）第二时段二级标准。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不排放生产性废水。水帘柜废水（60.05m3 /a）</w:t>
      </w:r>
      <w:r>
        <w:rPr>
          <w:rFonts w:hint="eastAsia" w:ascii="宋体" w:hAnsi="宋体" w:cs="宋体"/>
          <w:sz w:val="24"/>
          <w:szCs w:val="24"/>
          <w:lang w:eastAsia="zh-CN"/>
        </w:rPr>
        <w:t>经固定的废水桶</w:t>
      </w:r>
      <w:r>
        <w:rPr>
          <w:rFonts w:ascii="宋体" w:hAnsi="宋体" w:eastAsia="宋体" w:cs="宋体"/>
          <w:sz w:val="24"/>
          <w:szCs w:val="24"/>
        </w:rPr>
        <w:t>收集设 施收集后交给有资质的零星废水公司回收处理；</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生活污水经三级化粪池预处理后达到广东省 《水污染物排放限值》 （DB44/26-2001）第二时段三级标准后排入市政截污管网，引至东莞市虎门宁洲污水处理厂处理。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20190805001</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rPr>
          <w:rFonts w:hint="eastAsia"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喷漆、丝印/移印、烘烤工序设置在密闭车间内， 水性或低排放 VOCs 含量的涂料使用比例不低于50%，VOCs 收集率应大于90%</w:t>
      </w:r>
      <w:r>
        <w:rPr>
          <w:rFonts w:hint="eastAsia" w:ascii="宋体" w:hAnsi="宋体" w:cs="宋体"/>
          <w:sz w:val="24"/>
          <w:szCs w:val="24"/>
          <w:lang w:eastAsia="zh-CN"/>
        </w:rPr>
        <w:t>，</w:t>
      </w:r>
      <w:r>
        <w:rPr>
          <w:rFonts w:ascii="宋体" w:hAnsi="宋体" w:eastAsia="宋体" w:cs="宋体"/>
          <w:sz w:val="24"/>
          <w:szCs w:val="24"/>
        </w:rPr>
        <w:t>产生的有机废气经</w:t>
      </w:r>
      <w:r>
        <w:rPr>
          <w:rFonts w:hint="eastAsia" w:ascii="宋体" w:hAnsi="宋体" w:cs="宋体"/>
          <w:sz w:val="24"/>
          <w:szCs w:val="24"/>
          <w:lang w:eastAsia="zh-CN"/>
        </w:rPr>
        <w:t>收集后引至“</w:t>
      </w:r>
      <w:r>
        <w:rPr>
          <w:rFonts w:hint="eastAsia" w:ascii="宋体" w:hAnsi="宋体" w:cs="宋体"/>
          <w:sz w:val="24"/>
          <w:szCs w:val="24"/>
          <w:lang w:val="en-US" w:eastAsia="zh-CN"/>
        </w:rPr>
        <w:t>UV光解+活性炭吸附装置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 （DB44/814-2010）第 II 时段排气筒 VOCS 排放限值要求</w:t>
      </w:r>
      <w:r>
        <w:rPr>
          <w:rFonts w:hint="eastAsia" w:ascii="宋体" w:hAnsi="宋体" w:cs="宋体"/>
          <w:sz w:val="24"/>
          <w:szCs w:val="24"/>
          <w:lang w:eastAsia="zh-CN"/>
        </w:rPr>
        <w:t>，</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20190805001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240" w:firstLineChars="100"/>
        <w:outlineLvl w:val="0"/>
        <w:rPr>
          <w:rFonts w:hint="eastAsia" w:ascii="宋体" w:hAnsi="宋体" w:eastAsia="宋体" w:cs="宋体"/>
          <w:sz w:val="24"/>
          <w:szCs w:val="24"/>
          <w:highlight w:val="red"/>
          <w:lang w:eastAsia="zh-CN"/>
        </w:rPr>
      </w:pPr>
      <w:r>
        <w:rPr>
          <w:rFonts w:ascii="Times New Roman" w:hAnsi="Times New Roman"/>
          <w:sz w:val="24"/>
          <w:szCs w:val="24"/>
        </w:rPr>
        <w:t xml:space="preserve"> </w:t>
      </w: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Times New Roman" w:hAnsi="Times New Roman"/>
          <w:sz w:val="24"/>
          <w:szCs w:val="24"/>
          <w:highlight w:val="none"/>
          <w:lang w:eastAsia="zh-CN"/>
        </w:rPr>
        <w:t>HSJC20190813002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不排放生产性废水。水帘柜废</w:t>
      </w:r>
      <w:bookmarkStart w:id="0" w:name="_GoBack"/>
      <w:bookmarkEnd w:id="0"/>
      <w:r>
        <w:rPr>
          <w:rFonts w:ascii="宋体" w:hAnsi="宋体" w:eastAsia="宋体" w:cs="宋体"/>
          <w:sz w:val="24"/>
          <w:szCs w:val="24"/>
        </w:rPr>
        <w:t>水（60.05m3 /a）</w:t>
      </w:r>
      <w:r>
        <w:rPr>
          <w:rFonts w:hint="eastAsia" w:ascii="宋体" w:hAnsi="宋体" w:cs="宋体"/>
          <w:sz w:val="24"/>
          <w:szCs w:val="24"/>
          <w:lang w:eastAsia="zh-CN"/>
        </w:rPr>
        <w:t>经固定的废水桶</w:t>
      </w:r>
      <w:r>
        <w:rPr>
          <w:rFonts w:ascii="宋体" w:hAnsi="宋体" w:eastAsia="宋体" w:cs="宋体"/>
          <w:sz w:val="24"/>
          <w:szCs w:val="24"/>
        </w:rPr>
        <w:t>收集设 施收集后交给有资质的零星废水公司回收处理；</w:t>
      </w:r>
      <w:r>
        <w:rPr>
          <w:rFonts w:hint="eastAsia" w:ascii="宋体" w:hAnsi="宋体" w:cs="宋体"/>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生活污水经三级化粪池预处理后排入市政截污管网，引至东莞市虎门宁洲污水处理厂处理。</w:t>
      </w:r>
      <w:r>
        <w:rPr>
          <w:rFonts w:hint="eastAsia" w:ascii="宋体" w:hAnsi="宋体" w:cs="宋体"/>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喷漆、丝印/移印、烘烤工序设置在密闭车间内， 水性或低排放 VOCs 含量的涂料使用比例不低于50%，VOCs 收集率应大于90%</w:t>
      </w:r>
      <w:r>
        <w:rPr>
          <w:rFonts w:hint="eastAsia" w:ascii="宋体" w:hAnsi="宋体" w:cs="宋体"/>
          <w:sz w:val="24"/>
          <w:szCs w:val="24"/>
          <w:lang w:eastAsia="zh-CN"/>
        </w:rPr>
        <w:t>，</w:t>
      </w:r>
      <w:r>
        <w:rPr>
          <w:rFonts w:ascii="宋体" w:hAnsi="宋体" w:eastAsia="宋体" w:cs="宋体"/>
          <w:sz w:val="24"/>
          <w:szCs w:val="24"/>
        </w:rPr>
        <w:t>产生的有机废气经</w:t>
      </w:r>
      <w:r>
        <w:rPr>
          <w:rFonts w:hint="eastAsia" w:ascii="宋体" w:hAnsi="宋体" w:cs="宋体"/>
          <w:sz w:val="24"/>
          <w:szCs w:val="24"/>
          <w:lang w:eastAsia="zh-CN"/>
        </w:rPr>
        <w:t>收集后引至“</w:t>
      </w:r>
      <w:r>
        <w:rPr>
          <w:rFonts w:hint="eastAsia" w:ascii="宋体" w:hAnsi="宋体" w:cs="宋体"/>
          <w:sz w:val="24"/>
          <w:szCs w:val="24"/>
          <w:lang w:val="en-US" w:eastAsia="zh-CN"/>
        </w:rPr>
        <w:t>UV光解+活性炭吸附装置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Times New Roman" w:hAnsi="Times New Roman"/>
          <w:sz w:val="24"/>
          <w:szCs w:val="24"/>
        </w:rPr>
        <w:t>项目已做好生产设备的消声降噪措施，对周边环境不会产生明显的影响</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浩利塑胶五金制品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08-13</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浩利塑胶五金制品</w:t>
      </w:r>
      <w:r>
        <w:rPr>
          <w:rFonts w:hint="eastAsia" w:ascii="Times New Roman" w:hAnsi="Times New Roman"/>
          <w:b/>
          <w:sz w:val="28"/>
          <w:szCs w:val="28"/>
        </w:rPr>
        <w:t>有限公司</w:t>
      </w:r>
      <w:r>
        <w:rPr>
          <w:rFonts w:hint="eastAsia" w:ascii="Times New Roman" w:hAnsi="Times New Roman"/>
          <w:b/>
          <w:sz w:val="28"/>
          <w:szCs w:val="28"/>
          <w:lang w:eastAsia="zh-CN"/>
        </w:rPr>
        <w:t>（一期）建设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DE32979"/>
    <w:rsid w:val="0FCE5A89"/>
    <w:rsid w:val="114C068B"/>
    <w:rsid w:val="123D1278"/>
    <w:rsid w:val="12D9070B"/>
    <w:rsid w:val="152E2104"/>
    <w:rsid w:val="19627BC8"/>
    <w:rsid w:val="1A2A0674"/>
    <w:rsid w:val="1B2025A9"/>
    <w:rsid w:val="1F472CD9"/>
    <w:rsid w:val="22C43CA5"/>
    <w:rsid w:val="26547E6C"/>
    <w:rsid w:val="2D686495"/>
    <w:rsid w:val="34FB1FF1"/>
    <w:rsid w:val="36792E54"/>
    <w:rsid w:val="37AE0056"/>
    <w:rsid w:val="39D75F5B"/>
    <w:rsid w:val="3B320F78"/>
    <w:rsid w:val="3B885DD3"/>
    <w:rsid w:val="3F3573BE"/>
    <w:rsid w:val="452126C7"/>
    <w:rsid w:val="478F788B"/>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AEF43FB"/>
    <w:rsid w:val="7BEA4E17"/>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18</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2019-08-13T05:58:52Z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