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奇为塑胶五金</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奇为塑胶五金</w:t>
      </w:r>
      <w:r>
        <w:rPr>
          <w:rFonts w:hint="eastAsia" w:ascii="Times New Roman"/>
          <w:sz w:val="24"/>
          <w:szCs w:val="24"/>
        </w:rPr>
        <w:t>有限公司根据东莞市</w:t>
      </w:r>
      <w:r>
        <w:rPr>
          <w:rFonts w:hint="eastAsia" w:ascii="Times New Roman"/>
          <w:sz w:val="24"/>
          <w:szCs w:val="24"/>
          <w:lang w:eastAsia="zh-CN"/>
        </w:rPr>
        <w:t>奇为塑胶五金</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奇为塑胶五金</w:t>
      </w:r>
      <w:r>
        <w:rPr>
          <w:rFonts w:hint="eastAsia" w:cs="Times New Roman"/>
        </w:rPr>
        <w:t>有限公司位于</w:t>
      </w:r>
      <w:r>
        <w:rPr>
          <w:rFonts w:hint="eastAsia" w:cs="Times New Roman"/>
          <w:color w:val="000000"/>
          <w:lang w:eastAsia="zh-CN"/>
        </w:rPr>
        <w:t>东莞市长安镇沙头南区沙涌路</w:t>
      </w:r>
      <w:r>
        <w:rPr>
          <w:rFonts w:hint="eastAsia" w:cs="Times New Roman"/>
          <w:color w:val="000000"/>
          <w:lang w:val="en-US" w:eastAsia="zh-CN"/>
        </w:rPr>
        <w:t>55号A栋8楼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12.27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43.38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2100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2100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加工生产不锈钢管、锌合金管</w:t>
      </w:r>
      <w:r>
        <w:rPr>
          <w:rFonts w:hint="eastAsia" w:cs="Times New Roman"/>
        </w:rPr>
        <w:t>，年</w:t>
      </w:r>
      <w:r>
        <w:rPr>
          <w:rFonts w:hint="eastAsia" w:cs="Times New Roman"/>
          <w:lang w:eastAsia="zh-CN"/>
        </w:rPr>
        <w:t>加工生产不锈钢管</w:t>
      </w:r>
      <w:r>
        <w:rPr>
          <w:rFonts w:hint="eastAsia" w:cs="Times New Roman"/>
          <w:lang w:val="en-US" w:eastAsia="zh-CN"/>
        </w:rPr>
        <w:t>300万只、锌合金管100万只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奇为塑胶五金</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奇为塑胶五金</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9806</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30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研磨废水（3.24 吨/年）、超声波清洗废水（15.55 吨/ 年）、水帘柜废水（15.21 吨/年）、水喷淋废水（1.5 吨/年）经固定的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喷漆、烘烤、丝印、移印、烘干工序</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配套的废气处理设施收集处理后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高空排放，丝印、移印、烘干</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废气排放执行广东省《印刷行业挥发性有机化合物排放标准》（DB44/815-2010）第Ⅱ时段标准喷漆、烘烤</w:t>
      </w:r>
      <w:r>
        <w:rPr>
          <w:rFonts w:hint="eastAsia" w:ascii="宋体" w:hAnsi="宋体" w:cs="宋体"/>
          <w:sz w:val="24"/>
          <w:szCs w:val="24"/>
          <w:lang w:eastAsia="zh-CN"/>
        </w:rPr>
        <w:t>有机废气排放执行</w:t>
      </w:r>
      <w:r>
        <w:rPr>
          <w:rFonts w:ascii="宋体" w:hAnsi="宋体" w:eastAsia="宋体" w:cs="宋体"/>
          <w:sz w:val="24"/>
          <w:szCs w:val="24"/>
        </w:rPr>
        <w:t>广东省《家具制造行业挥发性有机化合物排放标（DB44/814-2010）第II时段标准的较严值。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90905001</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研磨废水（3.24 吨/年）、超声波清洗废水（15.55 吨/ 年）、水帘柜废水（15.21 吨/年）、水喷淋废水（1.5 吨/年）经固定的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喷漆、烘烤、丝印、移印、烘干工序</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配套的废气处理设施收集处理后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高空排放，丝印、移印、烘干</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广东省《印刷行业挥发性有机化合物排放标准》（DB44/815-2010）第Ⅱ时段标准喷漆、烘烤</w:t>
      </w:r>
      <w:r>
        <w:rPr>
          <w:rFonts w:hint="eastAsia" w:ascii="宋体" w:hAnsi="宋体" w:cs="宋体"/>
          <w:sz w:val="24"/>
          <w:szCs w:val="24"/>
          <w:lang w:eastAsia="zh-CN"/>
        </w:rPr>
        <w:t>有机废气排放达到</w:t>
      </w:r>
      <w:r>
        <w:rPr>
          <w:rFonts w:ascii="宋体" w:hAnsi="宋体" w:eastAsia="宋体" w:cs="宋体"/>
          <w:sz w:val="24"/>
          <w:szCs w:val="24"/>
        </w:rPr>
        <w:t>广东省《家具制造行业挥发性有机化合物排放标（DB44/814-2010）第II时段标准的较严值。</w:t>
      </w:r>
    </w:p>
    <w:p>
      <w:pPr>
        <w:spacing w:line="360" w:lineRule="auto"/>
        <w:outlineLvl w:val="0"/>
        <w:rPr>
          <w:rFonts w:hint="default" w:ascii="宋体" w:hAnsi="宋体" w:eastAsia="宋体" w:cs="宋体"/>
          <w:sz w:val="24"/>
          <w:szCs w:val="24"/>
          <w:lang w:val="en-US" w:eastAsia="zh-CN"/>
        </w:rPr>
      </w:pP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90905001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90905001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东莞市奇为塑胶五金有限公司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bookmarkStart w:id="0" w:name="_GoBack"/>
      <w:bookmarkEnd w:id="0"/>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奇为塑胶五金</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奇为塑胶五金</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F3573BE"/>
    <w:rsid w:val="406B0E51"/>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41F7E78"/>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2019-09-11T05:50:38Z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