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众邦鑫塑胶制品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众邦鑫塑胶制品</w:t>
      </w:r>
      <w:r>
        <w:rPr>
          <w:rFonts w:hint="eastAsia" w:ascii="Times New Roman"/>
          <w:sz w:val="24"/>
          <w:szCs w:val="24"/>
        </w:rPr>
        <w:t>有限公司根据东莞市</w:t>
      </w:r>
      <w:r>
        <w:rPr>
          <w:rFonts w:hint="eastAsia" w:ascii="Times New Roman"/>
          <w:sz w:val="24"/>
          <w:szCs w:val="24"/>
          <w:lang w:eastAsia="zh-CN"/>
        </w:rPr>
        <w:t>众邦鑫塑胶制品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众邦鑫塑胶制品</w:t>
      </w:r>
      <w:r>
        <w:rPr>
          <w:rFonts w:hint="eastAsia" w:cs="Times New Roman"/>
        </w:rPr>
        <w:t>有限公司位于</w:t>
      </w:r>
      <w:r>
        <w:rPr>
          <w:rFonts w:hint="eastAsia" w:cs="Times New Roman"/>
          <w:color w:val="000000"/>
          <w:lang w:eastAsia="zh-CN"/>
        </w:rPr>
        <w:t>东莞市虎门镇树田社区银泰南路</w:t>
      </w:r>
      <w:r>
        <w:rPr>
          <w:rFonts w:hint="eastAsia" w:cs="Times New Roman"/>
          <w:color w:val="000000"/>
          <w:lang w:val="en-US" w:eastAsia="zh-CN"/>
        </w:rPr>
        <w:t>5号4楼、5楼</w:t>
      </w:r>
      <w:bookmarkStart w:id="0" w:name="_GoBack"/>
      <w:bookmarkEnd w:id="0"/>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38.25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26.93</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26</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加工生产手机壳、音响壳</w:t>
      </w:r>
      <w:r>
        <w:rPr>
          <w:rFonts w:hint="eastAsia" w:cs="Times New Roman"/>
        </w:rPr>
        <w:t>，年</w:t>
      </w:r>
      <w:r>
        <w:rPr>
          <w:rFonts w:hint="eastAsia" w:cs="Times New Roman"/>
          <w:lang w:eastAsia="zh-CN"/>
        </w:rPr>
        <w:t>加工生产手机壳</w:t>
      </w:r>
      <w:r>
        <w:rPr>
          <w:rFonts w:hint="eastAsia" w:cs="Times New Roman"/>
          <w:lang w:val="en-US" w:eastAsia="zh-CN"/>
        </w:rPr>
        <w:t>20万个、音响壳10万个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众邦鑫塑胶制品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众邦鑫塑胶制品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1455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260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3.8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w:t>
      </w:r>
      <w:r>
        <w:rPr>
          <w:rFonts w:hint="eastAsia" w:ascii="Times New Roman"/>
          <w:sz w:val="24"/>
          <w:szCs w:val="24"/>
        </w:rPr>
        <w:t>本项目实际建设内容与环评批复的审批内容基本一致，无重大变动情况。</w:t>
      </w:r>
      <w:r>
        <w:rPr>
          <w:rFonts w:hint="eastAsia" w:ascii="Times New Roman"/>
          <w:sz w:val="24"/>
          <w:szCs w:val="24"/>
          <w:lang w:eastAsia="zh-CN"/>
        </w:rPr>
        <w:t>现有一期验收设备（附表）</w:t>
      </w:r>
    </w:p>
    <w:tbl>
      <w:tblPr>
        <w:tblStyle w:val="9"/>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65"/>
        <w:gridCol w:w="1320"/>
        <w:gridCol w:w="1230"/>
        <w:gridCol w:w="171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7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w:t>
            </w:r>
          </w:p>
        </w:tc>
        <w:tc>
          <w:tcPr>
            <w:tcW w:w="12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移印机</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移印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全自动喷漆线</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26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除尘、喷漆、烘烤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06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除尘柜</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48把</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48把</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UV固化炉</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烘干炉</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6条</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全自动喷漆线</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06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4个</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4个</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12把</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12把</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065" w:type="dxa"/>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烘干炉</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全自动水转印生产线</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水转印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10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水转印机</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38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3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不排放生产性废水。水帘柜废水、水喷淋废水、 水转印废水（共 35.75t/a）经固定的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喷漆、烘烤、移印及烘干工序</w:t>
      </w:r>
      <w:r>
        <w:rPr>
          <w:rFonts w:hint="eastAsia" w:ascii="宋体" w:hAnsi="宋体" w:cs="宋体"/>
          <w:sz w:val="24"/>
          <w:szCs w:val="24"/>
          <w:lang w:eastAsia="zh-CN"/>
        </w:rPr>
        <w:t>设置</w:t>
      </w:r>
      <w:r>
        <w:rPr>
          <w:rFonts w:ascii="宋体" w:hAnsi="宋体" w:eastAsia="宋体" w:cs="宋体"/>
          <w:sz w:val="24"/>
          <w:szCs w:val="24"/>
        </w:rPr>
        <w:t>在密闭车间</w:t>
      </w:r>
      <w:r>
        <w:rPr>
          <w:rFonts w:hint="eastAsia" w:ascii="宋体" w:hAnsi="宋体" w:cs="宋体"/>
          <w:sz w:val="24"/>
          <w:szCs w:val="24"/>
          <w:lang w:eastAsia="zh-CN"/>
        </w:rPr>
        <w:t>内</w:t>
      </w:r>
      <w:r>
        <w:rPr>
          <w:rFonts w:ascii="宋体" w:hAnsi="宋体" w:eastAsia="宋体" w:cs="宋体"/>
          <w:sz w:val="24"/>
          <w:szCs w:val="24"/>
        </w:rPr>
        <w:t>，</w:t>
      </w:r>
      <w:r>
        <w:rPr>
          <w:rFonts w:hint="eastAsia" w:ascii="宋体" w:hAnsi="宋体" w:cs="宋体"/>
          <w:sz w:val="24"/>
          <w:szCs w:val="24"/>
          <w:lang w:eastAsia="zh-CN"/>
        </w:rPr>
        <w:t>并对其</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 II 时段排气筒 VOCs 排放限值；移印及烘干工序产生的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 II 时段 排气筒 VOCs 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SPJC20191114001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不排放生产性废水。水帘柜废水、水喷淋废水、 水转印废水（共 35.75t/a）经固定的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喷漆、烘烤、移印及烘干工序</w:t>
      </w:r>
      <w:r>
        <w:rPr>
          <w:rFonts w:hint="eastAsia" w:ascii="宋体" w:hAnsi="宋体" w:cs="宋体"/>
          <w:sz w:val="24"/>
          <w:szCs w:val="24"/>
          <w:lang w:eastAsia="zh-CN"/>
        </w:rPr>
        <w:t>设置</w:t>
      </w:r>
      <w:r>
        <w:rPr>
          <w:rFonts w:ascii="宋体" w:hAnsi="宋体" w:eastAsia="宋体" w:cs="宋体"/>
          <w:sz w:val="24"/>
          <w:szCs w:val="24"/>
        </w:rPr>
        <w:t>在密闭车间</w:t>
      </w:r>
      <w:r>
        <w:rPr>
          <w:rFonts w:hint="eastAsia" w:ascii="宋体" w:hAnsi="宋体" w:cs="宋体"/>
          <w:sz w:val="24"/>
          <w:szCs w:val="24"/>
          <w:lang w:eastAsia="zh-CN"/>
        </w:rPr>
        <w:t>内</w:t>
      </w:r>
      <w:r>
        <w:rPr>
          <w:rFonts w:ascii="宋体" w:hAnsi="宋体" w:eastAsia="宋体" w:cs="宋体"/>
          <w:sz w:val="24"/>
          <w:szCs w:val="24"/>
        </w:rPr>
        <w:t>，</w:t>
      </w:r>
      <w:r>
        <w:rPr>
          <w:rFonts w:hint="eastAsia" w:ascii="宋体" w:hAnsi="宋体" w:cs="宋体"/>
          <w:sz w:val="24"/>
          <w:szCs w:val="24"/>
          <w:lang w:eastAsia="zh-CN"/>
        </w:rPr>
        <w:t>并对其</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时段排气筒 VOCs 排放限值；移印及烘干工序产生的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 II 时段 排气筒 VOCs 排放限值。</w:t>
      </w:r>
      <w:r>
        <w:rPr>
          <w:rFonts w:hint="eastAsia" w:ascii="Times New Roman" w:hAnsi="Times New Roman"/>
          <w:sz w:val="24"/>
          <w:szCs w:val="24"/>
        </w:rPr>
        <w:t>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SPJC20191114001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val="en-US" w:eastAsia="zh-CN"/>
        </w:rPr>
        <w:t xml:space="preserve">  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SPJC20191114001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东莞市众邦鑫塑胶制品有限公司</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一期项目不从事夜间生产，如若项目需从事夜间生产，再申报夜间噪音达标验收。一期项目未引进设备有（全自动喷漆线</w:t>
      </w:r>
      <w:r>
        <w:rPr>
          <w:rFonts w:hint="eastAsia" w:ascii="Times New Roman" w:hAnsi="Times New Roman"/>
          <w:sz w:val="24"/>
          <w:szCs w:val="24"/>
          <w:lang w:val="en-US" w:eastAsia="zh-CN"/>
        </w:rPr>
        <w:t>1条、水帘柜1个、除尘柜1个、UV固化炉1台、烘干炉2条</w:t>
      </w:r>
      <w:r>
        <w:rPr>
          <w:rFonts w:hint="eastAsia" w:ascii="Times New Roman" w:hAnsi="Times New Roman"/>
          <w:sz w:val="24"/>
          <w:szCs w:val="24"/>
          <w:lang w:eastAsia="zh-CN"/>
        </w:rPr>
        <w:t>）暂不验收，待设备回齐再向贵局申请二次验收。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众邦鑫塑胶制品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11-16</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众邦鑫塑胶制品</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52609D"/>
    <w:rsid w:val="0FCE5A89"/>
    <w:rsid w:val="114C068B"/>
    <w:rsid w:val="123D1278"/>
    <w:rsid w:val="12D9070B"/>
    <w:rsid w:val="13201251"/>
    <w:rsid w:val="19627BC8"/>
    <w:rsid w:val="19A30AC2"/>
    <w:rsid w:val="1A2A0674"/>
    <w:rsid w:val="1AFD3DF1"/>
    <w:rsid w:val="1B2025A9"/>
    <w:rsid w:val="22C43CA5"/>
    <w:rsid w:val="253A7A7C"/>
    <w:rsid w:val="25F22535"/>
    <w:rsid w:val="26547E6C"/>
    <w:rsid w:val="268934D1"/>
    <w:rsid w:val="28FE0F04"/>
    <w:rsid w:val="2CC47CD2"/>
    <w:rsid w:val="2D686495"/>
    <w:rsid w:val="2EB55303"/>
    <w:rsid w:val="2F721B86"/>
    <w:rsid w:val="34313947"/>
    <w:rsid w:val="36027ECC"/>
    <w:rsid w:val="39223B63"/>
    <w:rsid w:val="39D75F5B"/>
    <w:rsid w:val="3A19205C"/>
    <w:rsid w:val="3A914185"/>
    <w:rsid w:val="3B885DD3"/>
    <w:rsid w:val="3F3573BE"/>
    <w:rsid w:val="406B0E51"/>
    <w:rsid w:val="43F8288A"/>
    <w:rsid w:val="49295BEA"/>
    <w:rsid w:val="4AD63029"/>
    <w:rsid w:val="4D925BF8"/>
    <w:rsid w:val="51E66216"/>
    <w:rsid w:val="53177114"/>
    <w:rsid w:val="55407F1C"/>
    <w:rsid w:val="582E11CE"/>
    <w:rsid w:val="59971B00"/>
    <w:rsid w:val="5D5242FD"/>
    <w:rsid w:val="60ED1601"/>
    <w:rsid w:val="63B50DE9"/>
    <w:rsid w:val="67D61337"/>
    <w:rsid w:val="6AC61F00"/>
    <w:rsid w:val="6B274293"/>
    <w:rsid w:val="6E801591"/>
    <w:rsid w:val="6ED22FFA"/>
    <w:rsid w:val="70CB01F1"/>
    <w:rsid w:val="710961DF"/>
    <w:rsid w:val="711C32AE"/>
    <w:rsid w:val="734A210C"/>
    <w:rsid w:val="738A2110"/>
    <w:rsid w:val="76232E78"/>
    <w:rsid w:val="78410F0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2019-11-27T05:51:54Z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