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E0631F">
      <w:pPr>
        <w:spacing w:line="360" w:lineRule="auto"/>
        <w:ind w:firstLineChars="50" w:firstLine="14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9602D1" w:rsidRPr="009602D1">
        <w:rPr>
          <w:rFonts w:ascii="Times New Roman" w:hint="eastAsia"/>
          <w:b/>
          <w:sz w:val="28"/>
          <w:szCs w:val="28"/>
        </w:rPr>
        <w:t>通鑫鼎金属材料</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9602D1">
        <w:rPr>
          <w:rFonts w:ascii="Times New Roman" w:hint="eastAsia"/>
          <w:sz w:val="24"/>
          <w:szCs w:val="24"/>
        </w:rPr>
        <w:t>22</w:t>
      </w:r>
      <w:r>
        <w:rPr>
          <w:rFonts w:ascii="Times New Roman" w:hint="eastAsia"/>
          <w:sz w:val="24"/>
          <w:szCs w:val="24"/>
        </w:rPr>
        <w:t>日东莞</w:t>
      </w:r>
      <w:r w:rsidR="00B273AD">
        <w:rPr>
          <w:rFonts w:ascii="Times New Roman" w:hint="eastAsia"/>
          <w:sz w:val="24"/>
          <w:szCs w:val="24"/>
        </w:rPr>
        <w:t>市</w:t>
      </w:r>
      <w:r w:rsidR="009602D1" w:rsidRPr="009602D1">
        <w:rPr>
          <w:rFonts w:ascii="Times New Roman" w:hint="eastAsia"/>
          <w:sz w:val="24"/>
          <w:szCs w:val="24"/>
        </w:rPr>
        <w:t>通鑫鼎金属材料</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9602D1" w:rsidRPr="009602D1">
        <w:rPr>
          <w:rFonts w:ascii="Times New Roman" w:hint="eastAsia"/>
          <w:sz w:val="24"/>
          <w:szCs w:val="24"/>
        </w:rPr>
        <w:t>通鑫鼎金属材料</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9602D1" w:rsidRPr="009602D1">
        <w:rPr>
          <w:rFonts w:hAnsi="Calibri" w:hint="eastAsia"/>
        </w:rPr>
        <w:t>通鑫鼎金属材料</w:t>
      </w:r>
      <w:r>
        <w:rPr>
          <w:rFonts w:cs="Times New Roman" w:hint="eastAsia"/>
        </w:rPr>
        <w:t>有限公司位</w:t>
      </w:r>
      <w:r w:rsidRPr="00177394">
        <w:rPr>
          <w:rFonts w:hint="eastAsia"/>
        </w:rPr>
        <w:t>于</w:t>
      </w:r>
      <w:r w:rsidR="00177394" w:rsidRPr="00177394">
        <w:t>东莞市</w:t>
      </w:r>
      <w:r w:rsidR="00177394" w:rsidRPr="009602D1">
        <w:rPr>
          <w:rFonts w:cs="Times New Roman"/>
        </w:rPr>
        <w:t>虎门镇</w:t>
      </w:r>
      <w:r w:rsidR="009602D1" w:rsidRPr="009602D1">
        <w:rPr>
          <w:rFonts w:cs="Times New Roman" w:hint="eastAsia"/>
        </w:rPr>
        <w:t>路东社区路东大路</w:t>
      </w:r>
      <w:r w:rsidR="009602D1" w:rsidRPr="009602D1">
        <w:rPr>
          <w:rFonts w:cs="Times New Roman" w:hint="eastAsia"/>
        </w:rPr>
        <w:t>53</w:t>
      </w:r>
      <w:r w:rsidR="009602D1" w:rsidRPr="009602D1">
        <w:rPr>
          <w:rFonts w:cs="Times New Roman" w:hint="eastAsia"/>
        </w:rPr>
        <w:t>号</w:t>
      </w:r>
      <w:r w:rsidRPr="009602D1">
        <w:rPr>
          <w:rFonts w:cs="Times New Roman" w:hint="eastAsia"/>
        </w:rPr>
        <w:t>（北纬</w:t>
      </w:r>
      <w:r w:rsidR="00DC6F70" w:rsidRPr="009602D1">
        <w:rPr>
          <w:rFonts w:cs="Times New Roman"/>
        </w:rPr>
        <w:t>2</w:t>
      </w:r>
      <w:r w:rsidR="00DC6F70" w:rsidRPr="009602D1">
        <w:rPr>
          <w:rFonts w:cs="Times New Roman" w:hint="eastAsia"/>
        </w:rPr>
        <w:t>2</w:t>
      </w:r>
      <w:r w:rsidR="00DC6F70" w:rsidRPr="009602D1">
        <w:rPr>
          <w:rFonts w:cs="Times New Roman"/>
        </w:rPr>
        <w:t>°</w:t>
      </w:r>
      <w:r w:rsidR="009602D1">
        <w:rPr>
          <w:rFonts w:cs="Times New Roman" w:hint="eastAsia"/>
        </w:rPr>
        <w:t>45</w:t>
      </w:r>
      <w:r w:rsidR="00DC6F70" w:rsidRPr="009602D1">
        <w:rPr>
          <w:rFonts w:cs="Times New Roman"/>
        </w:rPr>
        <w:t>′</w:t>
      </w:r>
      <w:r w:rsidR="009602D1">
        <w:rPr>
          <w:rFonts w:cs="Times New Roman" w:hint="eastAsia"/>
        </w:rPr>
        <w:t>46.30</w:t>
      </w:r>
      <w:r w:rsidR="00DC6F70" w:rsidRPr="009602D1">
        <w:rPr>
          <w:rFonts w:cs="Times New Roman"/>
        </w:rPr>
        <w:t>"</w:t>
      </w:r>
      <w:r w:rsidR="00DC6F70" w:rsidRPr="009602D1">
        <w:rPr>
          <w:rFonts w:cs="Times New Roman"/>
        </w:rPr>
        <w:t>，东经</w:t>
      </w:r>
      <w:r w:rsidR="00DC6F70" w:rsidRPr="009602D1">
        <w:rPr>
          <w:rFonts w:cs="Times New Roman"/>
        </w:rPr>
        <w:t>113°</w:t>
      </w:r>
      <w:r w:rsidR="00DC6F70" w:rsidRPr="009602D1">
        <w:rPr>
          <w:rFonts w:cs="Times New Roman" w:hint="eastAsia"/>
        </w:rPr>
        <w:t>4</w:t>
      </w:r>
      <w:r w:rsidR="009602D1">
        <w:rPr>
          <w:rFonts w:cs="Times New Roman" w:hint="eastAsia"/>
        </w:rPr>
        <w:t>2</w:t>
      </w:r>
      <w:r w:rsidR="00DC6F70" w:rsidRPr="009602D1">
        <w:rPr>
          <w:rFonts w:cs="Times New Roman"/>
        </w:rPr>
        <w:t>′</w:t>
      </w:r>
      <w:r w:rsidR="009602D1">
        <w:rPr>
          <w:rFonts w:cs="Times New Roman" w:hint="eastAsia"/>
        </w:rPr>
        <w:t>6.03</w:t>
      </w:r>
      <w:r w:rsidR="00DC6F70" w:rsidRPr="009602D1">
        <w:rPr>
          <w:rFonts w:cs="Times New Roman"/>
        </w:rPr>
        <w:t>"</w:t>
      </w:r>
      <w:r w:rsidRPr="009602D1">
        <w:rPr>
          <w:rFonts w:cs="Times New Roman" w:hint="eastAsia"/>
        </w:rPr>
        <w:t>）。项目所在厂房为租用，</w:t>
      </w:r>
      <w:r w:rsidRPr="00DC6F70">
        <w:rPr>
          <w:rFonts w:cs="Times New Roman" w:hint="eastAsia"/>
          <w:color w:val="000000"/>
        </w:rPr>
        <w:t>占地面积</w:t>
      </w:r>
      <w:r w:rsidR="00C04534">
        <w:rPr>
          <w:rFonts w:cs="Times New Roman" w:hint="eastAsia"/>
          <w:color w:val="000000"/>
        </w:rPr>
        <w:t>50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9602D1">
        <w:rPr>
          <w:rFonts w:cs="Times New Roman" w:hint="eastAsia"/>
          <w:color w:val="000000"/>
        </w:rPr>
        <w:t>8</w:t>
      </w:r>
      <w:r w:rsidR="00C04534">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9602D1">
        <w:rPr>
          <w:rFonts w:cs="Times New Roman" w:hint="eastAsia"/>
        </w:rPr>
        <w:t>1</w:t>
      </w:r>
      <w:r w:rsidR="0097209D">
        <w:rPr>
          <w:rFonts w:cs="Times New Roman" w:hint="eastAsia"/>
        </w:rPr>
        <w:t>0</w:t>
      </w:r>
      <w:r w:rsidR="00D25B6B">
        <w:rPr>
          <w:rFonts w:cs="Times New Roman" w:hint="eastAsia"/>
        </w:rPr>
        <w:t>0</w:t>
      </w:r>
      <w:r>
        <w:rPr>
          <w:rFonts w:cs="Times New Roman" w:hint="eastAsia"/>
        </w:rPr>
        <w:t>万元，设有员工</w:t>
      </w:r>
      <w:r w:rsidR="009602D1">
        <w:rPr>
          <w:rFonts w:cs="Times New Roman" w:hint="eastAsia"/>
        </w:rPr>
        <w:t>2</w:t>
      </w:r>
      <w:r w:rsidR="00177394">
        <w:rPr>
          <w:rFonts w:cs="Times New Roman" w:hint="eastAsia"/>
        </w:rPr>
        <w:t>0</w:t>
      </w:r>
      <w:r>
        <w:rPr>
          <w:rFonts w:cs="Times New Roman" w:hint="eastAsia"/>
        </w:rPr>
        <w:t>人，主要从事</w:t>
      </w:r>
      <w:r w:rsidR="009602D1">
        <w:rPr>
          <w:rFonts w:cs="Times New Roman" w:hint="eastAsia"/>
        </w:rPr>
        <w:t>锡球</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9602D1">
        <w:rPr>
          <w:rFonts w:cs="Times New Roman" w:hint="eastAsia"/>
        </w:rPr>
        <w:t>锡球</w:t>
      </w:r>
      <w:r w:rsidR="009602D1">
        <w:rPr>
          <w:rFonts w:cs="Times New Roman" w:hint="eastAsia"/>
        </w:rPr>
        <w:t>300</w:t>
      </w:r>
      <w:r w:rsidR="009602D1">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C93342">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C93342" w:rsidRPr="009602D1">
        <w:rPr>
          <w:rFonts w:hAnsi="Calibri" w:hint="eastAsia"/>
        </w:rPr>
        <w:t>通鑫鼎金属材料</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C93342">
        <w:rPr>
          <w:rFonts w:cs="Times New Roman" w:hint="eastAsia"/>
          <w:color w:val="000000"/>
        </w:rPr>
        <w:t>1464</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C93342">
        <w:rPr>
          <w:rFonts w:cs="Times New Roman" w:hint="eastAsia"/>
        </w:rPr>
        <w:t>7</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C93342">
        <w:rPr>
          <w:rFonts w:cs="Times New Roman" w:hint="eastAsia"/>
        </w:rPr>
        <w:t>9</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C93342">
        <w:rPr>
          <w:rFonts w:ascii="Times New Roman" w:hAnsi="Times New Roman" w:hint="eastAsia"/>
          <w:sz w:val="24"/>
        </w:rPr>
        <w:t>1</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C93342">
        <w:rPr>
          <w:rFonts w:ascii="Times New Roman" w:hAnsi="Times New Roman" w:hint="eastAsia"/>
          <w:sz w:val="24"/>
        </w:rPr>
        <w:t>3.7</w:t>
      </w:r>
      <w:r>
        <w:rPr>
          <w:rFonts w:ascii="Times New Roman" w:hint="eastAsia"/>
          <w:sz w:val="24"/>
        </w:rPr>
        <w:t>万元，占总投资的</w:t>
      </w:r>
      <w:r w:rsidR="00C93342">
        <w:rPr>
          <w:rFonts w:ascii="Times New Roman" w:hAnsi="Times New Roman" w:hint="eastAsia"/>
          <w:sz w:val="24"/>
        </w:rPr>
        <w:t>3.7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C04534" w:rsidRDefault="008604A8" w:rsidP="00C93342">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sidRPr="00C04534">
        <w:rPr>
          <w:rFonts w:ascii="Times New Roman" w:hAnsi="Times New Roman" w:hint="eastAsia"/>
          <w:sz w:val="24"/>
          <w:szCs w:val="24"/>
        </w:rPr>
        <w:t>详</w:t>
      </w:r>
      <w:r w:rsidR="00245F84" w:rsidRPr="00C93342">
        <w:rPr>
          <w:rFonts w:ascii="Times New Roman" w:hint="eastAsia"/>
          <w:sz w:val="24"/>
          <w:szCs w:val="24"/>
        </w:rPr>
        <w:t>情</w:t>
      </w:r>
      <w:r w:rsidR="00C04534" w:rsidRPr="00C93342">
        <w:rPr>
          <w:rFonts w:ascii="Times New Roman" w:hint="eastAsia"/>
          <w:sz w:val="24"/>
          <w:szCs w:val="24"/>
        </w:rPr>
        <w:t>：</w:t>
      </w:r>
      <w:r w:rsidR="00C93342" w:rsidRPr="00C93342">
        <w:rPr>
          <w:rFonts w:ascii="Times New Roman" w:hint="eastAsia"/>
          <w:sz w:val="24"/>
          <w:szCs w:val="24"/>
        </w:rPr>
        <w:t>压铸机</w:t>
      </w:r>
      <w:r w:rsidR="00C93342" w:rsidRPr="00C93342">
        <w:rPr>
          <w:rFonts w:ascii="Times New Roman" w:hint="eastAsia"/>
          <w:sz w:val="24"/>
          <w:szCs w:val="24"/>
        </w:rPr>
        <w:t>3</w:t>
      </w:r>
      <w:r w:rsidR="00C93342" w:rsidRPr="00C93342">
        <w:rPr>
          <w:rFonts w:ascii="Times New Roman" w:hint="eastAsia"/>
          <w:sz w:val="24"/>
          <w:szCs w:val="24"/>
        </w:rPr>
        <w:t>台、电熔炉（配套</w:t>
      </w:r>
      <w:r w:rsidR="00C93342">
        <w:rPr>
          <w:rFonts w:ascii="Times New Roman" w:hint="eastAsia"/>
          <w:sz w:val="24"/>
          <w:szCs w:val="24"/>
        </w:rPr>
        <w:t>，</w:t>
      </w:r>
      <w:r w:rsidR="00C93342" w:rsidRPr="00C93342">
        <w:rPr>
          <w:rFonts w:ascii="Times New Roman" w:hint="eastAsia"/>
          <w:sz w:val="24"/>
          <w:szCs w:val="24"/>
        </w:rPr>
        <w:t>容量为</w:t>
      </w:r>
      <w:r w:rsidR="00C93342" w:rsidRPr="00C93342">
        <w:rPr>
          <w:rFonts w:ascii="Times New Roman" w:hint="eastAsia"/>
          <w:sz w:val="24"/>
          <w:szCs w:val="24"/>
        </w:rPr>
        <w:t>100kg</w:t>
      </w:r>
      <w:r w:rsidR="00C93342" w:rsidRPr="00C93342">
        <w:rPr>
          <w:rFonts w:ascii="Times New Roman" w:hint="eastAsia"/>
          <w:sz w:val="24"/>
          <w:szCs w:val="24"/>
        </w:rPr>
        <w:t>）</w:t>
      </w:r>
      <w:r w:rsidR="00C93342" w:rsidRPr="00C93342">
        <w:rPr>
          <w:rFonts w:ascii="Times New Roman" w:hint="eastAsia"/>
          <w:sz w:val="24"/>
          <w:szCs w:val="24"/>
        </w:rPr>
        <w:t>3</w:t>
      </w:r>
      <w:r w:rsidR="00C93342" w:rsidRPr="00C93342">
        <w:rPr>
          <w:rFonts w:ascii="Times New Roman" w:hint="eastAsia"/>
          <w:sz w:val="24"/>
          <w:szCs w:val="24"/>
        </w:rPr>
        <w:t>个、电熔炉</w:t>
      </w:r>
      <w:r w:rsidR="00C93342" w:rsidRPr="00C93342">
        <w:rPr>
          <w:rFonts w:ascii="Times New Roman" w:hint="eastAsia"/>
          <w:sz w:val="24"/>
          <w:szCs w:val="24"/>
        </w:rPr>
        <w:t>(</w:t>
      </w:r>
      <w:r w:rsidR="00C93342" w:rsidRPr="00C93342">
        <w:rPr>
          <w:rFonts w:ascii="Times New Roman" w:hint="eastAsia"/>
          <w:sz w:val="24"/>
          <w:szCs w:val="24"/>
        </w:rPr>
        <w:t>容量为</w:t>
      </w:r>
      <w:r w:rsidR="00C93342" w:rsidRPr="00C93342">
        <w:rPr>
          <w:rFonts w:ascii="Times New Roman" w:hint="eastAsia"/>
          <w:sz w:val="24"/>
          <w:szCs w:val="24"/>
        </w:rPr>
        <w:t>100kg)2</w:t>
      </w:r>
      <w:r w:rsidR="00C93342" w:rsidRPr="00C93342">
        <w:rPr>
          <w:rFonts w:ascii="Times New Roman" w:hint="eastAsia"/>
          <w:sz w:val="24"/>
          <w:szCs w:val="24"/>
        </w:rPr>
        <w:t>个、电熔炉</w:t>
      </w:r>
      <w:r w:rsidR="00C93342" w:rsidRPr="00C93342">
        <w:rPr>
          <w:rFonts w:ascii="Times New Roman" w:hint="eastAsia"/>
          <w:sz w:val="24"/>
          <w:szCs w:val="24"/>
        </w:rPr>
        <w:t>(</w:t>
      </w:r>
      <w:r w:rsidR="00C93342" w:rsidRPr="00C93342">
        <w:rPr>
          <w:rFonts w:ascii="Times New Roman" w:hint="eastAsia"/>
          <w:sz w:val="24"/>
          <w:szCs w:val="24"/>
        </w:rPr>
        <w:t>容量为</w:t>
      </w:r>
      <w:r w:rsidR="00C93342" w:rsidRPr="00C93342">
        <w:rPr>
          <w:rFonts w:ascii="Times New Roman" w:hint="eastAsia"/>
          <w:sz w:val="24"/>
          <w:szCs w:val="24"/>
        </w:rPr>
        <w:t>500kg)1</w:t>
      </w:r>
      <w:r w:rsidR="00C93342" w:rsidRPr="00C93342">
        <w:rPr>
          <w:rFonts w:ascii="Times New Roman" w:hint="eastAsia"/>
          <w:sz w:val="24"/>
          <w:szCs w:val="24"/>
        </w:rPr>
        <w:t>个、冷却水塔</w:t>
      </w:r>
      <w:r w:rsidR="00C93342" w:rsidRPr="00C93342">
        <w:rPr>
          <w:rFonts w:ascii="Times New Roman" w:hint="eastAsia"/>
          <w:sz w:val="24"/>
          <w:szCs w:val="24"/>
        </w:rPr>
        <w:t>3</w:t>
      </w:r>
      <w:r w:rsidR="00C93342" w:rsidRPr="00C93342">
        <w:rPr>
          <w:rFonts w:ascii="Times New Roman" w:hint="eastAsia"/>
          <w:sz w:val="24"/>
          <w:szCs w:val="24"/>
        </w:rPr>
        <w:t>台、空压机</w:t>
      </w:r>
      <w:r w:rsidR="00C93342" w:rsidRPr="00C93342">
        <w:rPr>
          <w:rFonts w:ascii="Times New Roman" w:hint="eastAsia"/>
          <w:sz w:val="24"/>
          <w:szCs w:val="24"/>
        </w:rPr>
        <w:t>1</w:t>
      </w:r>
      <w:r w:rsidR="00C93342" w:rsidRPr="00C93342">
        <w:rPr>
          <w:rFonts w:ascii="Times New Roman" w:hint="eastAsia"/>
          <w:sz w:val="24"/>
          <w:szCs w:val="24"/>
        </w:rPr>
        <w:t>台</w:t>
      </w:r>
      <w:r w:rsidR="00C93342">
        <w:rPr>
          <w:rFonts w:ascii="Times New Roman"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C93342" w:rsidRPr="00C93342">
        <w:rPr>
          <w:rFonts w:ascii="Times New Roman" w:hAnsi="Times New Roman"/>
          <w:sz w:val="24"/>
          <w:szCs w:val="24"/>
        </w:rPr>
        <w:t>冷却用水循环使用，不外排</w:t>
      </w:r>
      <w:r w:rsidR="00C93342">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C93342" w:rsidRPr="00C93342">
        <w:rPr>
          <w:rFonts w:ascii="Times New Roman"/>
          <w:sz w:val="24"/>
          <w:szCs w:val="24"/>
        </w:rPr>
        <w:t>熔化、压铸</w:t>
      </w:r>
      <w:r w:rsidR="00D804D5" w:rsidRPr="00D804D5">
        <w:rPr>
          <w:rFonts w:ascii="Times New Roman"/>
          <w:sz w:val="24"/>
          <w:szCs w:val="24"/>
        </w:rPr>
        <w:t>工序产生的</w:t>
      </w:r>
      <w:r w:rsidR="00C93342">
        <w:rPr>
          <w:rFonts w:ascii="Times New Roman" w:hint="eastAsia"/>
          <w:sz w:val="24"/>
          <w:szCs w:val="24"/>
        </w:rPr>
        <w:t>金属烟尘</w:t>
      </w:r>
      <w:r w:rsidR="00D804D5" w:rsidRPr="00D804D5">
        <w:rPr>
          <w:rFonts w:ascii="Times New Roman"/>
          <w:sz w:val="24"/>
          <w:szCs w:val="24"/>
        </w:rPr>
        <w:t>经</w:t>
      </w:r>
      <w:r w:rsidR="0056648F">
        <w:rPr>
          <w:rFonts w:ascii="Times New Roman" w:hint="eastAsia"/>
          <w:sz w:val="24"/>
          <w:szCs w:val="24"/>
        </w:rPr>
        <w:t>集气装置收集后由管道引致</w:t>
      </w:r>
      <w:r w:rsidR="00D804D5" w:rsidRPr="00D804D5">
        <w:rPr>
          <w:rFonts w:ascii="Times New Roman"/>
          <w:sz w:val="24"/>
          <w:szCs w:val="24"/>
        </w:rPr>
        <w:t>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C93342" w:rsidRPr="00C93342">
        <w:rPr>
          <w:rFonts w:ascii="Times New Roman"/>
          <w:sz w:val="24"/>
          <w:szCs w:val="24"/>
        </w:rPr>
        <w:t>《工业炉窑大气污染物排放标准》（</w:t>
      </w:r>
      <w:r w:rsidR="00C93342" w:rsidRPr="00C93342">
        <w:rPr>
          <w:rFonts w:ascii="Times New Roman"/>
          <w:sz w:val="24"/>
          <w:szCs w:val="24"/>
        </w:rPr>
        <w:t>GB9078-1996</w:t>
      </w:r>
      <w:r w:rsidR="00C93342" w:rsidRPr="00C93342">
        <w:rPr>
          <w:rFonts w:ascii="Times New Roman"/>
          <w:sz w:val="24"/>
          <w:szCs w:val="24"/>
        </w:rPr>
        <w:t>）表</w:t>
      </w:r>
      <w:r w:rsidR="00C93342" w:rsidRPr="00C93342">
        <w:rPr>
          <w:rFonts w:ascii="Times New Roman"/>
          <w:sz w:val="24"/>
          <w:szCs w:val="24"/>
        </w:rPr>
        <w:t xml:space="preserve">2 </w:t>
      </w:r>
      <w:r w:rsidR="00C93342" w:rsidRPr="00C93342">
        <w:rPr>
          <w:rFonts w:ascii="Times New Roman"/>
          <w:sz w:val="24"/>
          <w:szCs w:val="24"/>
        </w:rPr>
        <w:t>金属熔化炉二级标准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0631F">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A76568">
        <w:rPr>
          <w:rFonts w:ascii="宋体" w:hAnsi="宋体" w:cs="宋体" w:hint="eastAsia"/>
          <w:sz w:val="24"/>
          <w:szCs w:val="24"/>
        </w:rPr>
        <w:t>1</w:t>
      </w:r>
      <w:r w:rsidR="00E0631F">
        <w:rPr>
          <w:rFonts w:ascii="宋体" w:hAnsi="宋体" w:cs="宋体" w:hint="eastAsia"/>
          <w:sz w:val="24"/>
          <w:szCs w:val="24"/>
        </w:rPr>
        <w:t>4002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E0631F" w:rsidRPr="00C93342">
        <w:rPr>
          <w:rFonts w:ascii="Times New Roman" w:hAnsi="Times New Roman"/>
          <w:sz w:val="24"/>
          <w:szCs w:val="24"/>
        </w:rPr>
        <w:t>冷却用水循环使用，不外排</w:t>
      </w:r>
      <w:r w:rsidR="00E0631F">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76568"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E0631F" w:rsidRPr="00C93342">
        <w:rPr>
          <w:rFonts w:ascii="Times New Roman"/>
          <w:sz w:val="24"/>
          <w:szCs w:val="24"/>
        </w:rPr>
        <w:t>熔化、压铸</w:t>
      </w:r>
      <w:r w:rsidR="00E0631F" w:rsidRPr="00D804D5">
        <w:rPr>
          <w:rFonts w:ascii="Times New Roman"/>
          <w:sz w:val="24"/>
          <w:szCs w:val="24"/>
        </w:rPr>
        <w:t>工序产生的</w:t>
      </w:r>
      <w:r w:rsidR="00E0631F">
        <w:rPr>
          <w:rFonts w:ascii="Times New Roman" w:hint="eastAsia"/>
          <w:sz w:val="24"/>
          <w:szCs w:val="24"/>
        </w:rPr>
        <w:t>金属烟尘</w:t>
      </w:r>
      <w:r w:rsidR="00E0631F" w:rsidRPr="00D804D5">
        <w:rPr>
          <w:rFonts w:ascii="Times New Roman"/>
          <w:sz w:val="24"/>
          <w:szCs w:val="24"/>
        </w:rPr>
        <w:t>经</w:t>
      </w:r>
      <w:r w:rsidR="00E0631F">
        <w:rPr>
          <w:rFonts w:ascii="Times New Roman" w:hint="eastAsia"/>
          <w:sz w:val="24"/>
          <w:szCs w:val="24"/>
        </w:rPr>
        <w:t>集气装置收集后由管道引致</w:t>
      </w:r>
      <w:r w:rsidR="00E0631F" w:rsidRPr="00D804D5">
        <w:rPr>
          <w:rFonts w:ascii="Times New Roman"/>
          <w:sz w:val="24"/>
          <w:szCs w:val="24"/>
        </w:rPr>
        <w:t>高空排放</w:t>
      </w:r>
      <w:r w:rsidR="00E0631F" w:rsidRPr="00D804D5">
        <w:rPr>
          <w:rFonts w:ascii="Times New Roman" w:hint="eastAsia"/>
          <w:sz w:val="24"/>
          <w:szCs w:val="24"/>
        </w:rPr>
        <w:t>，</w:t>
      </w:r>
      <w:r w:rsidR="00E0631F" w:rsidRPr="00D804D5">
        <w:rPr>
          <w:rFonts w:ascii="Times New Roman"/>
          <w:sz w:val="24"/>
          <w:szCs w:val="24"/>
        </w:rPr>
        <w:t>废气排放</w:t>
      </w:r>
      <w:r w:rsidR="00E0631F" w:rsidRPr="00D804D5">
        <w:rPr>
          <w:rFonts w:ascii="Times New Roman" w:hint="eastAsia"/>
          <w:sz w:val="24"/>
          <w:szCs w:val="24"/>
        </w:rPr>
        <w:t>达到</w:t>
      </w:r>
      <w:r w:rsidR="00E0631F" w:rsidRPr="00C93342">
        <w:rPr>
          <w:rFonts w:ascii="Times New Roman"/>
          <w:sz w:val="24"/>
          <w:szCs w:val="24"/>
        </w:rPr>
        <w:t>《工业炉窑大气污染物排放标准》（</w:t>
      </w:r>
      <w:r w:rsidR="00E0631F" w:rsidRPr="00C93342">
        <w:rPr>
          <w:rFonts w:ascii="Times New Roman"/>
          <w:sz w:val="24"/>
          <w:szCs w:val="24"/>
        </w:rPr>
        <w:t>GB9078-1996</w:t>
      </w:r>
      <w:r w:rsidR="00E0631F" w:rsidRPr="00C93342">
        <w:rPr>
          <w:rFonts w:ascii="Times New Roman"/>
          <w:sz w:val="24"/>
          <w:szCs w:val="24"/>
        </w:rPr>
        <w:t>）表</w:t>
      </w:r>
      <w:r w:rsidR="00E0631F" w:rsidRPr="00C93342">
        <w:rPr>
          <w:rFonts w:ascii="Times New Roman"/>
          <w:sz w:val="24"/>
          <w:szCs w:val="24"/>
        </w:rPr>
        <w:t xml:space="preserve">2 </w:t>
      </w:r>
      <w:r w:rsidR="00E0631F" w:rsidRPr="00C93342">
        <w:rPr>
          <w:rFonts w:ascii="Times New Roman"/>
          <w:sz w:val="24"/>
          <w:szCs w:val="24"/>
        </w:rPr>
        <w:t>金属熔化炉二级标准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第【SPJC201911</w:t>
      </w:r>
      <w:r>
        <w:rPr>
          <w:rFonts w:ascii="宋体" w:hAnsi="宋体" w:cs="宋体" w:hint="eastAsia"/>
          <w:sz w:val="24"/>
          <w:szCs w:val="24"/>
        </w:rPr>
        <w:t>1</w:t>
      </w:r>
      <w:r w:rsidR="00E0631F">
        <w:rPr>
          <w:rFonts w:ascii="宋体" w:hAnsi="宋体" w:cs="宋体" w:hint="eastAsia"/>
          <w:sz w:val="24"/>
          <w:szCs w:val="24"/>
        </w:rPr>
        <w:t>4002</w:t>
      </w:r>
      <w:r w:rsidR="00D804D5">
        <w:rPr>
          <w:rFonts w:ascii="宋体" w:hAnsi="宋体" w:cs="宋体" w:hint="eastAsia"/>
          <w:sz w:val="24"/>
          <w:szCs w:val="24"/>
        </w:rPr>
        <w:t>】号</w:t>
      </w:r>
      <w:r w:rsidR="00E0631F">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E0631F">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第【SPJC201911</w:t>
      </w:r>
      <w:r w:rsidR="00A76568">
        <w:rPr>
          <w:rFonts w:ascii="宋体" w:hAnsi="宋体" w:cs="宋体" w:hint="eastAsia"/>
          <w:sz w:val="24"/>
          <w:szCs w:val="24"/>
        </w:rPr>
        <w:t>1</w:t>
      </w:r>
      <w:r w:rsidR="00E0631F">
        <w:rPr>
          <w:rFonts w:ascii="宋体" w:hAnsi="宋体" w:cs="宋体" w:hint="eastAsia"/>
          <w:sz w:val="24"/>
          <w:szCs w:val="24"/>
        </w:rPr>
        <w:t>4002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东莞</w:t>
      </w:r>
      <w:r w:rsidR="00382412">
        <w:rPr>
          <w:rFonts w:ascii="Times New Roman" w:hAnsi="Times New Roman" w:hint="eastAsia"/>
          <w:sz w:val="24"/>
          <w:szCs w:val="24"/>
        </w:rPr>
        <w:t>市</w:t>
      </w:r>
      <w:r w:rsidR="00E0631F" w:rsidRPr="00E0631F">
        <w:rPr>
          <w:rFonts w:ascii="Times New Roman" w:hAnsi="Times New Roman" w:hint="eastAsia"/>
          <w:sz w:val="24"/>
          <w:szCs w:val="24"/>
        </w:rPr>
        <w:t>通鑫鼎金属材料</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Default="00E0631F" w:rsidP="00A76568">
      <w:pPr>
        <w:spacing w:line="360" w:lineRule="auto"/>
        <w:ind w:firstLineChars="200" w:firstLine="480"/>
        <w:rPr>
          <w:rFonts w:ascii="Times New Roman" w:hAnsi="Times New Roman" w:hint="eastAsia"/>
          <w:sz w:val="24"/>
          <w:szCs w:val="24"/>
        </w:rPr>
      </w:pPr>
    </w:p>
    <w:p w:rsidR="00E0631F" w:rsidRPr="00A76568" w:rsidRDefault="00E0631F" w:rsidP="00A76568">
      <w:pPr>
        <w:spacing w:line="360" w:lineRule="auto"/>
        <w:ind w:firstLineChars="200" w:firstLine="480"/>
        <w:rPr>
          <w:rFonts w:ascii="Times New Roman" w:hAnsi="Times New Roman"/>
          <w:sz w:val="24"/>
          <w:szCs w:val="24"/>
        </w:rPr>
      </w:pPr>
    </w:p>
    <w:p w:rsidR="00C233E8" w:rsidRDefault="00C233E8"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E0631F" w:rsidRPr="00E0631F">
        <w:rPr>
          <w:rFonts w:ascii="Times New Roman" w:hint="eastAsia"/>
          <w:b/>
          <w:sz w:val="28"/>
          <w:szCs w:val="28"/>
        </w:rPr>
        <w:t>通鑫鼎金属材料</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46B67" w:rsidRPr="00146B67">
        <w:rPr>
          <w:rFonts w:ascii="Times New Roman" w:hAnsi="Times New Roman" w:hint="eastAsia"/>
          <w:b/>
          <w:sz w:val="24"/>
          <w:szCs w:val="24"/>
        </w:rPr>
        <w:t>-</w:t>
      </w:r>
      <w:r w:rsidR="00E0631F">
        <w:rPr>
          <w:rFonts w:ascii="Times New Roman" w:hAnsi="Times New Roman" w:hint="eastAsia"/>
          <w:b/>
          <w:sz w:val="24"/>
          <w:szCs w:val="24"/>
        </w:rPr>
        <w:t>22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A76568">
      <w:pPr>
        <w:wordWrap w:val="0"/>
        <w:spacing w:line="360" w:lineRule="auto"/>
        <w:ind w:right="560" w:firstLineChars="350" w:firstLine="984"/>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E0631F" w:rsidRPr="00E0631F">
        <w:rPr>
          <w:rFonts w:ascii="Times New Roman" w:hint="eastAsia"/>
          <w:b/>
          <w:sz w:val="28"/>
          <w:szCs w:val="28"/>
        </w:rPr>
        <w:t>通鑫鼎金属材料</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42" w:rsidRDefault="00C93342" w:rsidP="007D3E7B">
      <w:r>
        <w:separator/>
      </w:r>
    </w:p>
  </w:endnote>
  <w:endnote w:type="continuationSeparator" w:id="0">
    <w:p w:rsidR="00C93342" w:rsidRDefault="00C9334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42" w:rsidRDefault="00C9334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3342" w:rsidRDefault="00C9334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42" w:rsidRDefault="00C93342">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C93342" w:rsidRDefault="00C93342">
                <w:pPr>
                  <w:pStyle w:val="a6"/>
                  <w:rPr>
                    <w:rStyle w:val="aa"/>
                  </w:rPr>
                </w:pPr>
                <w:r>
                  <w:rPr>
                    <w:rStyle w:val="aa"/>
                  </w:rPr>
                  <w:fldChar w:fldCharType="begin"/>
                </w:r>
                <w:r>
                  <w:rPr>
                    <w:rStyle w:val="aa"/>
                  </w:rPr>
                  <w:instrText xml:space="preserve">PAGE  </w:instrText>
                </w:r>
                <w:r>
                  <w:rPr>
                    <w:rStyle w:val="aa"/>
                  </w:rPr>
                  <w:fldChar w:fldCharType="separate"/>
                </w:r>
                <w:r w:rsidR="00C233E8">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42" w:rsidRDefault="00C93342" w:rsidP="007D3E7B">
      <w:r>
        <w:separator/>
      </w:r>
    </w:p>
  </w:footnote>
  <w:footnote w:type="continuationSeparator" w:id="0">
    <w:p w:rsidR="00C93342" w:rsidRDefault="00C9334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852"/>
    <w:rsid w:val="00892AD3"/>
    <w:rsid w:val="008B2735"/>
    <w:rsid w:val="008E165A"/>
    <w:rsid w:val="00925BA7"/>
    <w:rsid w:val="00926E5C"/>
    <w:rsid w:val="009437E7"/>
    <w:rsid w:val="009442A7"/>
    <w:rsid w:val="00945CA3"/>
    <w:rsid w:val="009467F9"/>
    <w:rsid w:val="00960249"/>
    <w:rsid w:val="009602D1"/>
    <w:rsid w:val="009666DC"/>
    <w:rsid w:val="009710D1"/>
    <w:rsid w:val="0097209D"/>
    <w:rsid w:val="0098079B"/>
    <w:rsid w:val="00982DAF"/>
    <w:rsid w:val="00983819"/>
    <w:rsid w:val="0098499C"/>
    <w:rsid w:val="009D2E72"/>
    <w:rsid w:val="009D532A"/>
    <w:rsid w:val="009E2701"/>
    <w:rsid w:val="00A10A9E"/>
    <w:rsid w:val="00A12C9B"/>
    <w:rsid w:val="00A21C33"/>
    <w:rsid w:val="00A25358"/>
    <w:rsid w:val="00A34F37"/>
    <w:rsid w:val="00A367FF"/>
    <w:rsid w:val="00A43E9D"/>
    <w:rsid w:val="00A540C1"/>
    <w:rsid w:val="00A76568"/>
    <w:rsid w:val="00A873FF"/>
    <w:rsid w:val="00AA734D"/>
    <w:rsid w:val="00AC5163"/>
    <w:rsid w:val="00AD4648"/>
    <w:rsid w:val="00AD7DA6"/>
    <w:rsid w:val="00AE3ED8"/>
    <w:rsid w:val="00AF3DBB"/>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04534"/>
    <w:rsid w:val="00C21863"/>
    <w:rsid w:val="00C233E8"/>
    <w:rsid w:val="00C33843"/>
    <w:rsid w:val="00C44721"/>
    <w:rsid w:val="00C531CE"/>
    <w:rsid w:val="00C72520"/>
    <w:rsid w:val="00C73DA4"/>
    <w:rsid w:val="00C75C89"/>
    <w:rsid w:val="00C76429"/>
    <w:rsid w:val="00C82975"/>
    <w:rsid w:val="00C85D20"/>
    <w:rsid w:val="00C92EDB"/>
    <w:rsid w:val="00C93342"/>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2C8C"/>
    <w:rsid w:val="00DA3A3E"/>
    <w:rsid w:val="00DC6F70"/>
    <w:rsid w:val="00DC7123"/>
    <w:rsid w:val="00DE295E"/>
    <w:rsid w:val="00DE6AF8"/>
    <w:rsid w:val="00DF0A4D"/>
    <w:rsid w:val="00DF228E"/>
    <w:rsid w:val="00E0631F"/>
    <w:rsid w:val="00E14909"/>
    <w:rsid w:val="00E17153"/>
    <w:rsid w:val="00E26DF0"/>
    <w:rsid w:val="00E30CDE"/>
    <w:rsid w:val="00E33B6B"/>
    <w:rsid w:val="00E434E7"/>
    <w:rsid w:val="00E46716"/>
    <w:rsid w:val="00E47853"/>
    <w:rsid w:val="00E56DFF"/>
    <w:rsid w:val="00E62D8F"/>
    <w:rsid w:val="00E80B01"/>
    <w:rsid w:val="00E90F2C"/>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B207B-77F1-4BBD-B286-617CDFAA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5</Pages>
  <Words>1687</Words>
  <Characters>661</Characters>
  <Application>Microsoft Office Word</Application>
  <DocSecurity>0</DocSecurity>
  <Lines>5</Lines>
  <Paragraphs>4</Paragraphs>
  <ScaleCrop>false</ScaleCrop>
  <Company>China</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133</cp:revision>
  <cp:lastPrinted>2019-07-02T06:10:00Z</cp:lastPrinted>
  <dcterms:created xsi:type="dcterms:W3CDTF">2018-01-18T08:34:00Z</dcterms:created>
  <dcterms:modified xsi:type="dcterms:W3CDTF">2019-12-10T09:07:00Z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