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老兵五金科技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12</w:t>
      </w:r>
      <w:r>
        <w:rPr>
          <w:rFonts w:hint="eastAsia" w:ascii="Times New Roman"/>
          <w:sz w:val="24"/>
          <w:szCs w:val="24"/>
        </w:rPr>
        <w:t>日东莞市</w:t>
      </w:r>
      <w:r>
        <w:rPr>
          <w:rFonts w:hint="eastAsia" w:ascii="Times New Roman"/>
          <w:sz w:val="24"/>
          <w:szCs w:val="24"/>
          <w:lang w:eastAsia="zh-CN"/>
        </w:rPr>
        <w:t>老兵五金科技</w:t>
      </w:r>
      <w:r>
        <w:rPr>
          <w:rFonts w:hint="eastAsia" w:ascii="Times New Roman"/>
          <w:sz w:val="24"/>
          <w:szCs w:val="24"/>
        </w:rPr>
        <w:t>有限公司根据东莞市</w:t>
      </w:r>
      <w:r>
        <w:rPr>
          <w:rFonts w:hint="eastAsia" w:ascii="Times New Roman"/>
          <w:sz w:val="24"/>
          <w:szCs w:val="24"/>
          <w:lang w:eastAsia="zh-CN"/>
        </w:rPr>
        <w:t>老兵五金科技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老兵五金科技</w:t>
      </w:r>
      <w:r>
        <w:rPr>
          <w:rFonts w:hint="eastAsia" w:cs="Times New Roman"/>
        </w:rPr>
        <w:t>有限公司位于</w:t>
      </w:r>
      <w:r>
        <w:rPr>
          <w:rFonts w:hint="eastAsia" w:cs="Times New Roman"/>
          <w:color w:val="000000"/>
          <w:lang w:eastAsia="zh-CN"/>
        </w:rPr>
        <w:t>东莞市虎门镇大宁社区赵屋大宁路</w:t>
      </w:r>
      <w:r>
        <w:rPr>
          <w:rFonts w:hint="eastAsia" w:cs="Times New Roman"/>
          <w:color w:val="000000"/>
          <w:lang w:val="en-US" w:eastAsia="zh-CN"/>
        </w:rPr>
        <w:t>16号一楼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29.19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39.21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650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650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25</w:t>
      </w:r>
      <w:r>
        <w:rPr>
          <w:rFonts w:hint="eastAsia" w:cs="Times New Roman"/>
        </w:rPr>
        <w:t>人，主要</w:t>
      </w:r>
      <w:r>
        <w:rPr>
          <w:rFonts w:hint="eastAsia" w:cs="Times New Roman"/>
          <w:lang w:eastAsia="zh-CN"/>
        </w:rPr>
        <w:t>加工生产五金配件</w:t>
      </w:r>
      <w:r>
        <w:rPr>
          <w:rFonts w:hint="eastAsia" w:cs="Times New Roman"/>
        </w:rPr>
        <w:t>，年</w:t>
      </w:r>
      <w:r>
        <w:rPr>
          <w:rFonts w:hint="eastAsia" w:cs="Times New Roman"/>
          <w:lang w:eastAsia="zh-CN"/>
        </w:rPr>
        <w:t>加工生产五金配件</w:t>
      </w:r>
      <w:r>
        <w:rPr>
          <w:rFonts w:hint="eastAsia" w:cs="Times New Roman"/>
          <w:lang w:val="en-US" w:eastAsia="zh-CN"/>
        </w:rPr>
        <w:t>5万件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老兵五金科技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老兵五金科技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16587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不允许排放生产性废水。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切割、焊接、打磨工序产生的无组织废气排放浓度执行广东省《大气污染物排放限值》（DB44/27-2001）第二时段无组织排放浓度限值。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ascii="宋体" w:hAnsi="宋体" w:eastAsia="宋体" w:cs="宋体"/>
          <w:sz w:val="24"/>
          <w:szCs w:val="24"/>
        </w:rPr>
        <w:t>项目东、南、西面</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ascii="宋体" w:hAnsi="宋体" w:eastAsia="宋体" w:cs="宋体"/>
          <w:sz w:val="24"/>
          <w:szCs w:val="24"/>
        </w:rPr>
        <w:t>北面噪声</w:t>
      </w:r>
      <w:r>
        <w:rPr>
          <w:rFonts w:hint="eastAsia" w:ascii="Times New Roman" w:hAnsi="Times New Roman"/>
          <w:sz w:val="24"/>
          <w:szCs w:val="24"/>
          <w:lang w:eastAsia="zh-CN"/>
        </w:rPr>
        <w:t>执行标准按照</w:t>
      </w:r>
      <w:r>
        <w:rPr>
          <w:rFonts w:ascii="宋体" w:hAnsi="宋体" w:eastAsia="宋体" w:cs="宋体"/>
          <w:sz w:val="24"/>
          <w:szCs w:val="24"/>
        </w:rPr>
        <w:t>《工业企业厂界环境噪声排放标准》</w:t>
      </w:r>
      <w:r>
        <w:rPr>
          <w:rFonts w:hint="eastAsia" w:ascii="Times New Roman" w:hAnsi="Times New Roman"/>
          <w:sz w:val="24"/>
          <w:szCs w:val="24"/>
        </w:rPr>
        <w:t>（</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4</w:t>
      </w:r>
      <w:r>
        <w:rPr>
          <w:rFonts w:ascii="宋体" w:hAnsi="宋体" w:eastAsia="宋体" w:cs="宋体"/>
          <w:sz w:val="24"/>
          <w:szCs w:val="24"/>
        </w:rPr>
        <w:t>类标准</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20191206001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90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不允许排放生产性废水。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切割、焊接、打磨工序产生的无组织废气排放浓度</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广东省《大气污染物排放限值》（DB44/27-2001）第二时段无组织排放浓度限值。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20191206001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ascii="宋体" w:hAnsi="宋体" w:eastAsia="宋体" w:cs="宋体"/>
          <w:sz w:val="24"/>
          <w:szCs w:val="24"/>
        </w:rPr>
        <w:t>项目东、南、西面</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w:t>
      </w:r>
      <w:r>
        <w:rPr>
          <w:rFonts w:ascii="宋体" w:hAnsi="宋体" w:eastAsia="宋体" w:cs="宋体"/>
          <w:sz w:val="24"/>
          <w:szCs w:val="24"/>
        </w:rPr>
        <w:t>北面</w:t>
      </w:r>
      <w:r>
        <w:rPr>
          <w:rFonts w:hint="eastAsia" w:ascii="宋体" w:hAnsi="宋体" w:cs="宋体"/>
          <w:sz w:val="24"/>
          <w:szCs w:val="24"/>
          <w:lang w:eastAsia="zh-CN"/>
        </w:rPr>
        <w:t>厂界</w:t>
      </w:r>
      <w:r>
        <w:rPr>
          <w:rFonts w:ascii="宋体" w:hAnsi="宋体" w:eastAsia="宋体" w:cs="宋体"/>
          <w:sz w:val="24"/>
          <w:szCs w:val="24"/>
        </w:rPr>
        <w:t>噪声</w:t>
      </w:r>
      <w:r>
        <w:rPr>
          <w:rFonts w:hint="eastAsia" w:ascii="宋体" w:hAnsi="宋体" w:cs="宋体"/>
          <w:sz w:val="24"/>
          <w:szCs w:val="24"/>
          <w:lang w:eastAsia="zh-CN"/>
        </w:rPr>
        <w:t>达到</w:t>
      </w:r>
      <w:r>
        <w:rPr>
          <w:rFonts w:ascii="宋体" w:hAnsi="宋体" w:eastAsia="宋体" w:cs="宋体"/>
          <w:sz w:val="24"/>
          <w:szCs w:val="24"/>
        </w:rPr>
        <w:t>《工业企业厂界环境噪声排放标准》</w:t>
      </w:r>
      <w:r>
        <w:rPr>
          <w:rFonts w:hint="eastAsia" w:ascii="Times New Roman" w:hAnsi="Times New Roman"/>
          <w:sz w:val="24"/>
          <w:szCs w:val="24"/>
        </w:rPr>
        <w:t>（</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4</w:t>
      </w:r>
      <w:r>
        <w:rPr>
          <w:rFonts w:ascii="宋体" w:hAnsi="宋体" w:eastAsia="宋体" w:cs="宋体"/>
          <w:sz w:val="24"/>
          <w:szCs w:val="24"/>
        </w:rPr>
        <w:t>类标准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20191206001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东莞市老兵五金科技有限公司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老兵五金科技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04-12</w:t>
      </w:r>
    </w:p>
    <w:p>
      <w:pPr>
        <w:spacing w:line="360" w:lineRule="auto"/>
        <w:ind w:firstLine="562" w:firstLineChars="200"/>
        <w:jc w:val="center"/>
        <w:rPr>
          <w:rFonts w:ascii="Times New Roman" w:hAnsi="Times New Roman"/>
          <w:b/>
          <w:sz w:val="28"/>
          <w:szCs w:val="28"/>
        </w:rPr>
      </w:pPr>
    </w:p>
    <w:p>
      <w:pPr>
        <w:spacing w:line="360" w:lineRule="auto"/>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老兵五金科技</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5BA15EB"/>
    <w:rsid w:val="16CF11AC"/>
    <w:rsid w:val="19627BC8"/>
    <w:rsid w:val="1A2A0674"/>
    <w:rsid w:val="1AFD3DF1"/>
    <w:rsid w:val="1B2025A9"/>
    <w:rsid w:val="22C43CA5"/>
    <w:rsid w:val="253A7A7C"/>
    <w:rsid w:val="26547E6C"/>
    <w:rsid w:val="28FE0F04"/>
    <w:rsid w:val="2CC47CD2"/>
    <w:rsid w:val="2D686495"/>
    <w:rsid w:val="2EB55303"/>
    <w:rsid w:val="2F33696C"/>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2020-05-09T03:35:01Z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