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合中川电子科技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合中川电子科技</w:t>
      </w:r>
      <w:r>
        <w:rPr>
          <w:rFonts w:hint="eastAsia" w:ascii="Times New Roman"/>
          <w:sz w:val="24"/>
          <w:szCs w:val="24"/>
        </w:rPr>
        <w:t>有限公司根据东莞市</w:t>
      </w:r>
      <w:r>
        <w:rPr>
          <w:rFonts w:hint="eastAsia" w:ascii="Times New Roman"/>
          <w:sz w:val="24"/>
          <w:szCs w:val="24"/>
          <w:lang w:eastAsia="zh-CN"/>
        </w:rPr>
        <w:t>合中川电子科技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合中川电子科技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东莞市虎门镇小南工业一路</w:t>
      </w:r>
      <w:r>
        <w:rPr>
          <w:rFonts w:hint="eastAsia" w:cs="Times New Roman"/>
          <w:color w:val="000000"/>
          <w:lang w:val="en-US" w:eastAsia="zh-CN"/>
        </w:rPr>
        <w:t>2号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6.83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33.09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9000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17000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150</w:t>
      </w:r>
      <w:r>
        <w:rPr>
          <w:rFonts w:cs="Times New Roman"/>
        </w:rPr>
        <w:t>0</w:t>
      </w:r>
      <w:r>
        <w:rPr>
          <w:rFonts w:hint="eastAsia" w:cs="Times New Roman"/>
        </w:rPr>
        <w:t>万元，设有员工</w:t>
      </w:r>
      <w:r>
        <w:rPr>
          <w:rFonts w:hint="eastAsia" w:cs="Times New Roman"/>
          <w:lang w:val="en-US" w:eastAsia="zh-CN"/>
        </w:rPr>
        <w:t>1000</w:t>
      </w:r>
      <w:r>
        <w:rPr>
          <w:rFonts w:hint="eastAsia" w:cs="Times New Roman"/>
        </w:rPr>
        <w:t>人，主要</w:t>
      </w:r>
      <w:r>
        <w:rPr>
          <w:rFonts w:hint="eastAsia" w:cs="Times New Roman"/>
          <w:lang w:eastAsia="zh-CN"/>
        </w:rPr>
        <w:t>从事电子烟的加工生产</w:t>
      </w:r>
      <w:r>
        <w:rPr>
          <w:rFonts w:hint="eastAsia" w:cs="Times New Roman"/>
        </w:rPr>
        <w:t>，年</w:t>
      </w:r>
      <w:r>
        <w:rPr>
          <w:rFonts w:hint="eastAsia" w:cs="Times New Roman"/>
          <w:lang w:eastAsia="zh-CN"/>
        </w:rPr>
        <w:t>产量为</w:t>
      </w:r>
      <w:r>
        <w:rPr>
          <w:rFonts w:hint="eastAsia" w:cs="Times New Roman"/>
          <w:lang w:val="en-US" w:eastAsia="zh-CN"/>
        </w:rPr>
        <w:t>1800万个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合中川电子科技</w:t>
      </w:r>
      <w:r>
        <w:rPr>
          <w:rFonts w:hint="eastAsia" w:cs="Times New Roman"/>
          <w:color w:val="000000"/>
        </w:rPr>
        <w:t>有限公司于</w:t>
      </w:r>
      <w:r>
        <w:rPr>
          <w:rFonts w:cs="Times New Roman"/>
          <w:color w:val="000000"/>
        </w:rPr>
        <w:t>20</w:t>
      </w:r>
      <w:r>
        <w:rPr>
          <w:rFonts w:hint="eastAsia" w:cs="Times New Roman"/>
          <w:color w:val="000000"/>
          <w:lang w:val="en-US" w:eastAsia="zh-CN"/>
        </w:rPr>
        <w:t>20</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合中川电子科技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7480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sz w:val="24"/>
          <w:lang w:val="en-US" w:eastAsia="zh-CN"/>
        </w:rPr>
        <w:t>1</w:t>
      </w:r>
      <w:r>
        <w:rPr>
          <w:rFonts w:hint="eastAsia" w:ascii="Times New Roman" w:hAnsi="Times New Roman"/>
          <w:sz w:val="24"/>
          <w:lang w:val="en-US" w:eastAsia="zh-CN"/>
        </w:rPr>
        <w:t>50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0.6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不排放生产性废水。盐雾测试用水循环使用，不外排。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w:t>
      </w:r>
      <w:bookmarkStart w:id="0" w:name="_GoBack"/>
      <w:bookmarkEnd w:id="0"/>
      <w:r>
        <w:rPr>
          <w:rFonts w:ascii="宋体" w:hAnsi="宋体" w:eastAsia="宋体" w:cs="宋体"/>
          <w:sz w:val="24"/>
          <w:szCs w:val="24"/>
        </w:rPr>
        <w:t xml:space="preserve">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焊锡、镭射工序产生的废</w:t>
      </w:r>
      <w:r>
        <w:rPr>
          <w:rFonts w:hint="eastAsia" w:ascii="宋体" w:hAnsi="宋体" w:cs="宋体"/>
          <w:sz w:val="24"/>
          <w:szCs w:val="24"/>
          <w:lang w:eastAsia="zh-CN"/>
        </w:rPr>
        <w:t>气收集后经集气装置</w:t>
      </w:r>
      <w:r>
        <w:rPr>
          <w:rFonts w:ascii="宋体" w:hAnsi="宋体" w:eastAsia="宋体" w:cs="宋体"/>
          <w:sz w:val="24"/>
          <w:szCs w:val="24"/>
        </w:rPr>
        <w:t>收集后</w:t>
      </w:r>
      <w:r>
        <w:rPr>
          <w:rFonts w:hint="eastAsia" w:ascii="宋体" w:hAnsi="宋体" w:cs="宋体"/>
          <w:sz w:val="24"/>
          <w:szCs w:val="24"/>
          <w:lang w:eastAsia="zh-CN"/>
        </w:rPr>
        <w:t>有管道引致</w:t>
      </w:r>
      <w:r>
        <w:rPr>
          <w:rFonts w:ascii="宋体" w:hAnsi="宋体" w:eastAsia="宋体" w:cs="宋体"/>
          <w:sz w:val="24"/>
          <w:szCs w:val="24"/>
        </w:rPr>
        <w:t>高空排放，废气排放执行广东省《大气污染物排放限值》(DB44/27-2001)第二时段二级标准；厨房使用清洁能源，厨房油烟经油烟净化器处理后高空排放，油烟排放参照执行《饮食业油烟排放标准（试行）》（GB18483-2001）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20200803003</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不排放生产性废水。盐雾测试用水应循环使用，不外排。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焊锡、镭射工序产生的废</w:t>
      </w:r>
      <w:r>
        <w:rPr>
          <w:rFonts w:hint="eastAsia" w:ascii="宋体" w:hAnsi="宋体" w:cs="宋体"/>
          <w:sz w:val="24"/>
          <w:szCs w:val="24"/>
          <w:lang w:eastAsia="zh-CN"/>
        </w:rPr>
        <w:t>气收集后经集气装置</w:t>
      </w:r>
      <w:r>
        <w:rPr>
          <w:rFonts w:ascii="宋体" w:hAnsi="宋体" w:eastAsia="宋体" w:cs="宋体"/>
          <w:sz w:val="24"/>
          <w:szCs w:val="24"/>
        </w:rPr>
        <w:t>收集后</w:t>
      </w:r>
      <w:r>
        <w:rPr>
          <w:rFonts w:hint="eastAsia" w:ascii="宋体" w:hAnsi="宋体" w:cs="宋体"/>
          <w:sz w:val="24"/>
          <w:szCs w:val="24"/>
          <w:lang w:eastAsia="zh-CN"/>
        </w:rPr>
        <w:t>有管道引致</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广东省《大气污染物排放限值》(DB44/27-2001)第二时段二级标准；厨房使用清洁能源，厨房油烟经油烟净化器处理后高空排放，油烟排放参照</w:t>
      </w:r>
      <w:r>
        <w:rPr>
          <w:rFonts w:hint="eastAsia" w:ascii="宋体" w:hAnsi="宋体" w:cs="宋体"/>
          <w:sz w:val="24"/>
          <w:szCs w:val="24"/>
          <w:lang w:eastAsia="zh-CN"/>
        </w:rPr>
        <w:t>达到</w:t>
      </w:r>
      <w:r>
        <w:rPr>
          <w:rFonts w:ascii="宋体" w:hAnsi="宋体" w:eastAsia="宋体" w:cs="宋体"/>
          <w:sz w:val="24"/>
          <w:szCs w:val="24"/>
        </w:rPr>
        <w:t>《饮食业油烟排放标准（试行）》（GB18483-2001）要求。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20200803003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20200803003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东莞市合中川电子科技有限公司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合中川电子科技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08-6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合中川电子科技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B775239"/>
    <w:rsid w:val="4D925BF8"/>
    <w:rsid w:val="53177114"/>
    <w:rsid w:val="582E11CE"/>
    <w:rsid w:val="59971B00"/>
    <w:rsid w:val="5D5242FD"/>
    <w:rsid w:val="5DD31811"/>
    <w:rsid w:val="5EF10049"/>
    <w:rsid w:val="60ED1601"/>
    <w:rsid w:val="62C81FBF"/>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2020-08-12T08:55:21Z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